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CAD5C" w14:textId="77777777" w:rsidR="00A72F25" w:rsidRDefault="00A72F25"/>
    <w:tbl>
      <w:tblPr>
        <w:tblStyle w:val="TableGridLight"/>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9667"/>
      </w:tblGrid>
      <w:tr w:rsidR="00A72F25" w:rsidRPr="00417B71" w14:paraId="3ACC95BF" w14:textId="77777777" w:rsidTr="001939A6">
        <w:trPr>
          <w:trHeight w:val="360"/>
        </w:trPr>
        <w:tc>
          <w:tcPr>
            <w:tcW w:w="1710" w:type="dxa"/>
          </w:tcPr>
          <w:p w14:paraId="4D1D793A" w14:textId="77777777" w:rsidR="00A72F25" w:rsidRPr="00162D5F" w:rsidRDefault="00A72F25" w:rsidP="00696AAD">
            <w:pPr>
              <w:rPr>
                <w:rFonts w:ascii="Arial" w:eastAsia="Times New Roman" w:hAnsi="Arial" w:cs="Arial"/>
                <w:b/>
                <w:bCs/>
                <w:color w:val="333333"/>
                <w:sz w:val="19"/>
                <w:szCs w:val="19"/>
              </w:rPr>
            </w:pPr>
            <w:r w:rsidRPr="00162D5F">
              <w:rPr>
                <w:rFonts w:ascii="Arial" w:eastAsia="Times New Roman" w:hAnsi="Arial" w:cs="Arial"/>
                <w:b/>
                <w:bCs/>
                <w:color w:val="00338D"/>
                <w:sz w:val="19"/>
                <w:szCs w:val="19"/>
              </w:rPr>
              <w:t>Job Title</w:t>
            </w:r>
          </w:p>
        </w:tc>
        <w:tc>
          <w:tcPr>
            <w:tcW w:w="9090" w:type="dxa"/>
          </w:tcPr>
          <w:p w14:paraId="7EC08573" w14:textId="310243DB" w:rsidR="00A72F25" w:rsidRPr="00162D5F" w:rsidRDefault="001939A6" w:rsidP="006E23FF">
            <w:pPr>
              <w:rPr>
                <w:rFonts w:ascii="Arial" w:eastAsia="Times New Roman" w:hAnsi="Arial" w:cs="Arial"/>
                <w:bCs/>
                <w:sz w:val="19"/>
                <w:szCs w:val="19"/>
              </w:rPr>
            </w:pPr>
            <w:r>
              <w:rPr>
                <w:rFonts w:ascii="Arial" w:eastAsia="Times New Roman" w:hAnsi="Arial" w:cs="Arial"/>
                <w:sz w:val="19"/>
                <w:szCs w:val="19"/>
              </w:rPr>
              <w:t xml:space="preserve">KPMG Halifax </w:t>
            </w:r>
            <w:r w:rsidR="00EE04A6">
              <w:rPr>
                <w:rFonts w:ascii="Arial" w:eastAsia="Times New Roman" w:hAnsi="Arial" w:cs="Arial"/>
                <w:sz w:val="19"/>
                <w:szCs w:val="19"/>
              </w:rPr>
              <w:t>–</w:t>
            </w:r>
            <w:r>
              <w:rPr>
                <w:rFonts w:ascii="Arial" w:eastAsia="Times New Roman" w:hAnsi="Arial" w:cs="Arial"/>
                <w:sz w:val="19"/>
                <w:szCs w:val="19"/>
              </w:rPr>
              <w:t xml:space="preserve"> </w:t>
            </w:r>
            <w:r w:rsidR="00EE04A6">
              <w:rPr>
                <w:rFonts w:ascii="Arial" w:eastAsia="Times New Roman" w:hAnsi="Arial" w:cs="Arial"/>
                <w:sz w:val="19"/>
                <w:szCs w:val="19"/>
              </w:rPr>
              <w:t xml:space="preserve">Risk Consultant Opportunity </w:t>
            </w:r>
          </w:p>
        </w:tc>
      </w:tr>
      <w:tr w:rsidR="00A72F25" w:rsidRPr="00417B71" w14:paraId="4311BC3A" w14:textId="77777777" w:rsidTr="00696AAD">
        <w:trPr>
          <w:trHeight w:val="432"/>
        </w:trPr>
        <w:tc>
          <w:tcPr>
            <w:tcW w:w="1710" w:type="dxa"/>
          </w:tcPr>
          <w:p w14:paraId="55999BB9" w14:textId="69E50CD0" w:rsidR="00A72F25" w:rsidRPr="00417B71" w:rsidRDefault="008A75E7" w:rsidP="00696AAD">
            <w:pPr>
              <w:rPr>
                <w:rFonts w:ascii="Arial" w:eastAsia="Times New Roman" w:hAnsi="Arial" w:cs="Arial"/>
                <w:b/>
                <w:bCs/>
                <w:color w:val="00338D"/>
                <w:sz w:val="19"/>
                <w:szCs w:val="19"/>
              </w:rPr>
            </w:pPr>
            <w:r>
              <w:rPr>
                <w:rFonts w:ascii="Arial" w:eastAsia="Times New Roman" w:hAnsi="Arial" w:cs="Arial"/>
                <w:b/>
                <w:bCs/>
                <w:color w:val="00338D"/>
                <w:sz w:val="19"/>
                <w:szCs w:val="19"/>
              </w:rPr>
              <w:t>Job</w:t>
            </w:r>
            <w:r w:rsidR="00A72F25" w:rsidRPr="00417B71">
              <w:rPr>
                <w:rFonts w:ascii="Arial" w:eastAsia="Times New Roman" w:hAnsi="Arial" w:cs="Arial"/>
                <w:b/>
                <w:bCs/>
                <w:color w:val="00338D"/>
                <w:sz w:val="19"/>
                <w:szCs w:val="19"/>
              </w:rPr>
              <w:t xml:space="preserve"> ID</w:t>
            </w:r>
          </w:p>
        </w:tc>
        <w:tc>
          <w:tcPr>
            <w:tcW w:w="9090" w:type="dxa"/>
          </w:tcPr>
          <w:p w14:paraId="00F7F229" w14:textId="6FD739A4" w:rsidR="00A72F25" w:rsidRPr="00417B71" w:rsidRDefault="002D1B5C" w:rsidP="00FE7321">
            <w:pPr>
              <w:rPr>
                <w:rFonts w:ascii="Arial" w:eastAsia="Times New Roman" w:hAnsi="Arial" w:cs="Arial"/>
                <w:bCs/>
                <w:sz w:val="19"/>
                <w:szCs w:val="19"/>
              </w:rPr>
            </w:pPr>
            <w:r>
              <w:rPr>
                <w:rFonts w:ascii="Arial" w:eastAsia="Times New Roman" w:hAnsi="Arial" w:cs="Arial"/>
                <w:sz w:val="19"/>
                <w:szCs w:val="19"/>
              </w:rPr>
              <w:t>2021-</w:t>
            </w:r>
            <w:r w:rsidR="00636DAC">
              <w:rPr>
                <w:rFonts w:ascii="Arial" w:eastAsia="Times New Roman" w:hAnsi="Arial" w:cs="Arial"/>
                <w:sz w:val="19"/>
                <w:szCs w:val="19"/>
              </w:rPr>
              <w:t>9532</w:t>
            </w:r>
            <w:r w:rsidR="003B7D0A">
              <w:rPr>
                <w:rFonts w:ascii="Arial" w:eastAsia="Times New Roman" w:hAnsi="Arial" w:cs="Arial"/>
                <w:sz w:val="19"/>
                <w:szCs w:val="19"/>
              </w:rPr>
              <w:t xml:space="preserve"> </w:t>
            </w:r>
          </w:p>
        </w:tc>
      </w:tr>
      <w:tr w:rsidR="00A72F25" w:rsidRPr="00417B71" w14:paraId="24F0F7B0" w14:textId="77777777" w:rsidTr="00696AAD">
        <w:trPr>
          <w:trHeight w:val="432"/>
        </w:trPr>
        <w:tc>
          <w:tcPr>
            <w:tcW w:w="1710" w:type="dxa"/>
          </w:tcPr>
          <w:p w14:paraId="75F90930" w14:textId="77777777" w:rsidR="00A72F25" w:rsidRPr="00417B71" w:rsidRDefault="00A72F25" w:rsidP="00696AAD">
            <w:pPr>
              <w:rPr>
                <w:rFonts w:ascii="Arial" w:eastAsia="Times New Roman" w:hAnsi="Arial" w:cs="Arial"/>
                <w:b/>
                <w:bCs/>
                <w:color w:val="44546A" w:themeColor="text2"/>
                <w:sz w:val="19"/>
                <w:szCs w:val="19"/>
              </w:rPr>
            </w:pPr>
            <w:r w:rsidRPr="00417B71">
              <w:rPr>
                <w:rFonts w:ascii="Arial" w:eastAsia="Times New Roman" w:hAnsi="Arial" w:cs="Arial"/>
                <w:b/>
                <w:bCs/>
                <w:color w:val="00338D"/>
                <w:sz w:val="19"/>
                <w:szCs w:val="19"/>
              </w:rPr>
              <w:t>Location</w:t>
            </w:r>
          </w:p>
        </w:tc>
        <w:tc>
          <w:tcPr>
            <w:tcW w:w="9090" w:type="dxa"/>
          </w:tcPr>
          <w:p w14:paraId="6DE27D62" w14:textId="2C847734" w:rsidR="00A72F25" w:rsidRPr="00417B71" w:rsidRDefault="00777471" w:rsidP="00F1677A">
            <w:pPr>
              <w:rPr>
                <w:rFonts w:ascii="Arial" w:eastAsia="Times New Roman" w:hAnsi="Arial" w:cs="Arial"/>
                <w:bCs/>
                <w:sz w:val="19"/>
                <w:szCs w:val="19"/>
              </w:rPr>
            </w:pPr>
            <w:proofErr w:type="spellStart"/>
            <w:r>
              <w:rPr>
                <w:rFonts w:ascii="Arial" w:eastAsia="Times New Roman" w:hAnsi="Arial" w:cs="Arial"/>
                <w:sz w:val="19"/>
                <w:szCs w:val="19"/>
              </w:rPr>
              <w:t>N</w:t>
            </w:r>
            <w:r w:rsidR="001939A6">
              <w:rPr>
                <w:rFonts w:ascii="Arial" w:eastAsia="Times New Roman" w:hAnsi="Arial" w:cs="Arial"/>
                <w:sz w:val="19"/>
                <w:szCs w:val="19"/>
              </w:rPr>
              <w:t>S</w:t>
            </w:r>
            <w:r w:rsidR="00F1677A">
              <w:rPr>
                <w:rFonts w:ascii="Arial" w:eastAsia="Times New Roman" w:hAnsi="Arial" w:cs="Arial"/>
                <w:sz w:val="19"/>
                <w:szCs w:val="19"/>
              </w:rPr>
              <w:t>_Halifax</w:t>
            </w:r>
            <w:proofErr w:type="spellEnd"/>
          </w:p>
        </w:tc>
      </w:tr>
      <w:tr w:rsidR="00A72F25" w:rsidRPr="00417B71" w14:paraId="0511C91A" w14:textId="77777777" w:rsidTr="00696AAD">
        <w:tc>
          <w:tcPr>
            <w:tcW w:w="1710" w:type="dxa"/>
          </w:tcPr>
          <w:p w14:paraId="4B5AE1BF" w14:textId="77777777" w:rsidR="00A72F25" w:rsidRPr="00417B71" w:rsidRDefault="00A72F25" w:rsidP="00696AAD">
            <w:pPr>
              <w:rPr>
                <w:rFonts w:ascii="Arial" w:eastAsia="Times New Roman" w:hAnsi="Arial" w:cs="Arial"/>
                <w:b/>
                <w:bCs/>
                <w:color w:val="44546A" w:themeColor="text2"/>
                <w:sz w:val="19"/>
                <w:szCs w:val="19"/>
              </w:rPr>
            </w:pPr>
            <w:r w:rsidRPr="00417B71">
              <w:rPr>
                <w:rFonts w:ascii="Arial" w:eastAsia="Times New Roman" w:hAnsi="Arial" w:cs="Arial"/>
                <w:b/>
                <w:bCs/>
                <w:color w:val="00338D"/>
                <w:sz w:val="19"/>
                <w:szCs w:val="19"/>
              </w:rPr>
              <w:t>Job Description</w:t>
            </w:r>
          </w:p>
        </w:tc>
        <w:tc>
          <w:tcPr>
            <w:tcW w:w="9090" w:type="dxa"/>
          </w:tcPr>
          <w:p w14:paraId="2C7CE810" w14:textId="77777777" w:rsidR="00A72F25" w:rsidRPr="00182488" w:rsidRDefault="00A72F25" w:rsidP="00696AAD">
            <w:pPr>
              <w:rPr>
                <w:rFonts w:ascii="Arial" w:eastAsia="Times New Roman" w:hAnsi="Arial" w:cs="Arial"/>
                <w:bCs/>
                <w:sz w:val="19"/>
                <w:szCs w:val="19"/>
                <w:lang w:eastAsia="fr-CA"/>
              </w:rPr>
            </w:pPr>
            <w:r w:rsidRPr="00182488">
              <w:rPr>
                <w:rFonts w:ascii="Arial" w:eastAsia="Times New Roman" w:hAnsi="Arial" w:cs="Arial"/>
                <w:bCs/>
                <w:sz w:val="19"/>
                <w:szCs w:val="19"/>
                <w:lang w:eastAsia="fr-CA"/>
              </w:rPr>
              <w:t xml:space="preserve">You’ve got big plans. We have opportunities to match, and we’re committed to empowering you to become a better you, no matter what you do. </w:t>
            </w:r>
          </w:p>
          <w:p w14:paraId="4EDF664F" w14:textId="77777777" w:rsidR="00A72F25" w:rsidRPr="00182488" w:rsidRDefault="00A72F25" w:rsidP="00696AAD">
            <w:pPr>
              <w:rPr>
                <w:rFonts w:ascii="Arial" w:eastAsia="Times New Roman" w:hAnsi="Arial" w:cs="Arial"/>
                <w:bCs/>
                <w:sz w:val="19"/>
                <w:szCs w:val="19"/>
                <w:lang w:eastAsia="fr-CA"/>
              </w:rPr>
            </w:pPr>
          </w:p>
          <w:p w14:paraId="6B64BCE3" w14:textId="77777777" w:rsidR="00A72F25" w:rsidRPr="00182488" w:rsidRDefault="00A72F25" w:rsidP="00696AAD">
            <w:pPr>
              <w:rPr>
                <w:rFonts w:ascii="Arial" w:eastAsia="Times New Roman" w:hAnsi="Arial" w:cs="Arial"/>
                <w:bCs/>
                <w:sz w:val="19"/>
                <w:szCs w:val="19"/>
                <w:lang w:eastAsia="fr-CA"/>
              </w:rPr>
            </w:pPr>
            <w:r w:rsidRPr="00182488">
              <w:rPr>
                <w:rFonts w:ascii="Arial" w:eastAsia="Times New Roman" w:hAnsi="Arial" w:cs="Arial"/>
                <w:bCs/>
                <w:sz w:val="19"/>
                <w:szCs w:val="19"/>
                <w:lang w:eastAsia="fr-CA"/>
              </w:rPr>
              <w:t>When you joi</w:t>
            </w:r>
            <w:r>
              <w:rPr>
                <w:rFonts w:ascii="Arial" w:eastAsia="Times New Roman" w:hAnsi="Arial" w:cs="Arial"/>
                <w:bCs/>
                <w:sz w:val="19"/>
                <w:szCs w:val="19"/>
                <w:lang w:eastAsia="fr-CA"/>
              </w:rPr>
              <w:t>n KPMG you’ll be one of over 207</w:t>
            </w:r>
            <w:r w:rsidRPr="00182488">
              <w:rPr>
                <w:rFonts w:ascii="Arial" w:eastAsia="Times New Roman" w:hAnsi="Arial" w:cs="Arial"/>
                <w:bCs/>
                <w:sz w:val="19"/>
                <w:szCs w:val="19"/>
                <w:lang w:eastAsia="fr-CA"/>
              </w:rPr>
              <w:t>,000 professionals providing audit, tax, advisory and busines</w:t>
            </w:r>
            <w:r>
              <w:rPr>
                <w:rFonts w:ascii="Arial" w:eastAsia="Times New Roman" w:hAnsi="Arial" w:cs="Arial"/>
                <w:bCs/>
                <w:sz w:val="19"/>
                <w:szCs w:val="19"/>
                <w:lang w:eastAsia="fr-CA"/>
              </w:rPr>
              <w:t>s enablement services across 153</w:t>
            </w:r>
            <w:r w:rsidRPr="00182488">
              <w:rPr>
                <w:rFonts w:ascii="Arial" w:eastAsia="Times New Roman" w:hAnsi="Arial" w:cs="Arial"/>
                <w:bCs/>
                <w:sz w:val="19"/>
                <w:szCs w:val="19"/>
                <w:lang w:eastAsia="fr-CA"/>
              </w:rPr>
              <w:t xml:space="preserve"> countries. </w:t>
            </w:r>
          </w:p>
          <w:p w14:paraId="12AF48A7" w14:textId="77777777" w:rsidR="00A72F25" w:rsidRPr="00182488" w:rsidRDefault="00A72F25" w:rsidP="00696AAD">
            <w:pPr>
              <w:rPr>
                <w:rFonts w:ascii="Arial" w:eastAsia="Times New Roman" w:hAnsi="Arial" w:cs="Arial"/>
                <w:bCs/>
                <w:sz w:val="19"/>
                <w:szCs w:val="19"/>
                <w:lang w:eastAsia="fr-CA"/>
              </w:rPr>
            </w:pPr>
          </w:p>
          <w:p w14:paraId="6982EFA1" w14:textId="4AA7CF8C" w:rsidR="00A72F25" w:rsidRDefault="00A72F25" w:rsidP="00696AAD">
            <w:pPr>
              <w:rPr>
                <w:rFonts w:ascii="Arial" w:eastAsia="Times New Roman" w:hAnsi="Arial" w:cs="Arial"/>
                <w:bCs/>
                <w:sz w:val="19"/>
                <w:szCs w:val="19"/>
                <w:lang w:eastAsia="fr-CA"/>
              </w:rPr>
            </w:pPr>
            <w:r w:rsidRPr="00182488">
              <w:rPr>
                <w:rFonts w:ascii="Arial" w:eastAsia="Times New Roman" w:hAnsi="Arial" w:cs="Arial"/>
                <w:bCs/>
                <w:sz w:val="19"/>
                <w:szCs w:val="19"/>
                <w:lang w:eastAsia="fr-CA"/>
              </w:rPr>
              <w:t xml:space="preserve">With the support to do things differently, grow personally and professionally and bring your whole self to work, there’s no limit to the impact you can make. Let’s do this.  </w:t>
            </w:r>
          </w:p>
          <w:p w14:paraId="22D1F92A" w14:textId="6C5088C9" w:rsidR="00C6344A" w:rsidRDefault="00C6344A" w:rsidP="00696AAD">
            <w:pPr>
              <w:rPr>
                <w:rFonts w:ascii="Arial" w:eastAsia="Times New Roman" w:hAnsi="Arial" w:cs="Arial"/>
                <w:bCs/>
                <w:sz w:val="19"/>
                <w:szCs w:val="19"/>
                <w:lang w:eastAsia="fr-CA"/>
              </w:rPr>
            </w:pPr>
          </w:p>
          <w:p w14:paraId="689C80A0" w14:textId="1A28EAF7" w:rsidR="00C6344A" w:rsidRDefault="00C6344A" w:rsidP="00696AAD">
            <w:pPr>
              <w:rPr>
                <w:rFonts w:ascii="Arial" w:eastAsia="Times New Roman" w:hAnsi="Arial" w:cs="Arial"/>
                <w:color w:val="000000"/>
                <w:sz w:val="20"/>
                <w:szCs w:val="20"/>
              </w:rPr>
            </w:pPr>
            <w:r w:rsidRPr="00021F92">
              <w:rPr>
                <w:rFonts w:ascii="Arial" w:eastAsia="Times New Roman" w:hAnsi="Arial" w:cs="Arial"/>
                <w:color w:val="000000"/>
                <w:sz w:val="20"/>
                <w:szCs w:val="20"/>
              </w:rPr>
              <w:t xml:space="preserve">We are looking for a dynamic professional to join our growing </w:t>
            </w:r>
            <w:r w:rsidRPr="00021F92">
              <w:rPr>
                <w:rFonts w:ascii="Arial" w:eastAsia="Times New Roman" w:hAnsi="Arial" w:cs="Arial"/>
                <w:b/>
                <w:bCs/>
                <w:color w:val="000000"/>
                <w:sz w:val="20"/>
                <w:szCs w:val="20"/>
              </w:rPr>
              <w:t>IARCS</w:t>
            </w:r>
            <w:r w:rsidRPr="00021F92">
              <w:rPr>
                <w:rFonts w:ascii="Arial" w:eastAsia="Times New Roman" w:hAnsi="Arial" w:cs="Arial"/>
                <w:color w:val="000000"/>
                <w:sz w:val="20"/>
                <w:szCs w:val="20"/>
              </w:rPr>
              <w:t xml:space="preserve"> team as a </w:t>
            </w:r>
            <w:r w:rsidRPr="00021F92">
              <w:rPr>
                <w:rFonts w:ascii="Arial" w:eastAsia="Times New Roman" w:hAnsi="Arial" w:cs="Arial"/>
                <w:b/>
                <w:bCs/>
                <w:color w:val="000000"/>
                <w:sz w:val="20"/>
                <w:szCs w:val="20"/>
              </w:rPr>
              <w:t>Consultant</w:t>
            </w:r>
            <w:r w:rsidRPr="00021F92">
              <w:rPr>
                <w:rFonts w:ascii="Arial" w:eastAsia="Times New Roman" w:hAnsi="Arial" w:cs="Arial"/>
                <w:color w:val="000000"/>
                <w:sz w:val="20"/>
                <w:szCs w:val="20"/>
              </w:rPr>
              <w:t>. The successful candidate will be responsible for assisting in and perform planning, execution, and report drafting in IARCS engagements, working both as part of larger engagement teams and individually with guidance and review from more senior professionals.</w:t>
            </w:r>
          </w:p>
          <w:p w14:paraId="2ECAD861" w14:textId="36DBC221" w:rsidR="00C6344A" w:rsidRDefault="00C6344A" w:rsidP="00696AAD">
            <w:pPr>
              <w:rPr>
                <w:rFonts w:ascii="Arial" w:eastAsia="Times New Roman" w:hAnsi="Arial" w:cs="Arial"/>
                <w:bCs/>
                <w:sz w:val="19"/>
                <w:szCs w:val="19"/>
                <w:lang w:eastAsia="fr-CA"/>
              </w:rPr>
            </w:pPr>
          </w:p>
          <w:p w14:paraId="27B32B01" w14:textId="70A69C16" w:rsidR="00C6344A" w:rsidRPr="00C6344A" w:rsidRDefault="00C6344A" w:rsidP="00696AAD">
            <w:pPr>
              <w:rPr>
                <w:rFonts w:ascii="Arial" w:eastAsia="Times New Roman" w:hAnsi="Arial" w:cs="Arial"/>
                <w:b/>
                <w:sz w:val="19"/>
                <w:szCs w:val="19"/>
                <w:lang w:eastAsia="fr-CA"/>
              </w:rPr>
            </w:pPr>
            <w:r w:rsidRPr="00C6344A">
              <w:rPr>
                <w:rFonts w:ascii="Arial" w:eastAsia="Times New Roman" w:hAnsi="Arial" w:cs="Arial"/>
                <w:b/>
                <w:sz w:val="19"/>
                <w:szCs w:val="19"/>
                <w:lang w:eastAsia="fr-CA"/>
              </w:rPr>
              <w:t xml:space="preserve">This is a full-time opportunity with an expected start date of </w:t>
            </w:r>
            <w:r w:rsidR="00636DAC">
              <w:rPr>
                <w:rFonts w:ascii="Arial" w:eastAsia="Times New Roman" w:hAnsi="Arial" w:cs="Arial"/>
                <w:b/>
                <w:sz w:val="19"/>
                <w:szCs w:val="19"/>
                <w:lang w:eastAsia="fr-CA"/>
              </w:rPr>
              <w:t xml:space="preserve">July or August 2021. </w:t>
            </w:r>
            <w:r w:rsidRPr="00C6344A">
              <w:rPr>
                <w:rFonts w:ascii="Arial" w:eastAsia="Times New Roman" w:hAnsi="Arial" w:cs="Arial"/>
                <w:b/>
                <w:sz w:val="19"/>
                <w:szCs w:val="19"/>
                <w:lang w:eastAsia="fr-CA"/>
              </w:rPr>
              <w:t xml:space="preserve"> </w:t>
            </w:r>
          </w:p>
          <w:p w14:paraId="139F082E" w14:textId="77777777" w:rsidR="000B0233" w:rsidRPr="00417B71" w:rsidRDefault="000B0233" w:rsidP="00696AAD">
            <w:pPr>
              <w:pStyle w:val="BodyText1"/>
              <w:spacing w:after="0" w:line="240" w:lineRule="auto"/>
              <w:ind w:right="612"/>
              <w:rPr>
                <w:rFonts w:ascii="Arial" w:hAnsi="Arial" w:cs="Arial"/>
                <w:sz w:val="19"/>
              </w:rPr>
            </w:pPr>
          </w:p>
          <w:p w14:paraId="188FF2D3" w14:textId="77777777" w:rsidR="00A72F25" w:rsidRPr="000736EC" w:rsidRDefault="00A72F25" w:rsidP="00696AAD">
            <w:pPr>
              <w:ind w:right="612"/>
              <w:rPr>
                <w:rFonts w:ascii="Arial" w:eastAsia="Times New Roman" w:hAnsi="Arial" w:cs="Arial"/>
                <w:b/>
                <w:bCs/>
                <w:color w:val="00338D"/>
                <w:sz w:val="21"/>
                <w:szCs w:val="21"/>
                <w:lang w:eastAsia="fr-CA"/>
              </w:rPr>
            </w:pPr>
            <w:r w:rsidRPr="000736EC">
              <w:rPr>
                <w:rFonts w:ascii="Arial" w:eastAsia="Times New Roman" w:hAnsi="Arial" w:cs="Arial"/>
                <w:b/>
                <w:bCs/>
                <w:color w:val="00338D"/>
                <w:sz w:val="21"/>
                <w:szCs w:val="21"/>
                <w:lang w:eastAsia="fr-CA"/>
              </w:rPr>
              <w:t xml:space="preserve">What you will do: </w:t>
            </w:r>
          </w:p>
          <w:p w14:paraId="1644D85B" w14:textId="77777777" w:rsidR="00E91607" w:rsidRPr="00021F92" w:rsidRDefault="00E91607" w:rsidP="00E91607">
            <w:pPr>
              <w:spacing w:before="100" w:beforeAutospacing="1"/>
              <w:rPr>
                <w:rFonts w:ascii="Arial" w:eastAsia="Times New Roman" w:hAnsi="Arial" w:cs="Arial"/>
                <w:color w:val="000000"/>
                <w:sz w:val="20"/>
                <w:szCs w:val="20"/>
              </w:rPr>
            </w:pPr>
            <w:r w:rsidRPr="00021F92">
              <w:rPr>
                <w:rFonts w:ascii="Arial" w:eastAsia="Times New Roman" w:hAnsi="Arial" w:cs="Arial"/>
                <w:b/>
                <w:bCs/>
                <w:color w:val="000000"/>
                <w:sz w:val="20"/>
                <w:szCs w:val="20"/>
              </w:rPr>
              <w:t>KPMG’s Advisory practice is growing</w:t>
            </w:r>
            <w:r w:rsidRPr="00021F92">
              <w:rPr>
                <w:rFonts w:ascii="Arial" w:eastAsia="Times New Roman" w:hAnsi="Arial" w:cs="Arial"/>
                <w:color w:val="000000"/>
                <w:sz w:val="20"/>
                <w:szCs w:val="20"/>
              </w:rPr>
              <w:t xml:space="preserve">, and we require strong professionals to join our dynamic team in </w:t>
            </w:r>
            <w:r>
              <w:rPr>
                <w:rFonts w:ascii="Arial" w:eastAsia="Times New Roman" w:hAnsi="Arial" w:cs="Arial"/>
                <w:color w:val="000000"/>
                <w:sz w:val="20"/>
                <w:szCs w:val="20"/>
              </w:rPr>
              <w:t xml:space="preserve">Regions East.  </w:t>
            </w:r>
            <w:r w:rsidRPr="00021F92">
              <w:rPr>
                <w:rFonts w:ascii="Arial" w:eastAsia="Times New Roman" w:hAnsi="Arial" w:cs="Arial"/>
                <w:color w:val="000000"/>
                <w:sz w:val="20"/>
                <w:szCs w:val="20"/>
              </w:rPr>
              <w:t>Specifically, our</w:t>
            </w:r>
            <w:r w:rsidRPr="00021F92">
              <w:rPr>
                <w:rFonts w:ascii="Arial" w:eastAsia="Times New Roman" w:hAnsi="Arial" w:cs="Arial"/>
                <w:b/>
                <w:bCs/>
                <w:color w:val="000000"/>
                <w:sz w:val="20"/>
                <w:szCs w:val="20"/>
              </w:rPr>
              <w:t xml:space="preserve"> Risk Consulting </w:t>
            </w:r>
            <w:r w:rsidRPr="00021F92">
              <w:rPr>
                <w:rFonts w:ascii="Arial" w:eastAsia="Times New Roman" w:hAnsi="Arial" w:cs="Arial"/>
                <w:color w:val="000000"/>
                <w:sz w:val="20"/>
                <w:szCs w:val="20"/>
              </w:rPr>
              <w:t xml:space="preserve">practice is comprised of business focused advisors who work to understand our clients’ business issues and to develop and execute approaches to address these challenges. Our value is in applying and integrating our wide range of business, advisory, assurance, and risk management expertise to specific business and management problems. </w:t>
            </w:r>
            <w:r w:rsidRPr="00021F92">
              <w:rPr>
                <w:rFonts w:ascii="Arial" w:eastAsia="Times New Roman" w:hAnsi="Arial" w:cs="Arial"/>
                <w:color w:val="000000"/>
                <w:sz w:val="20"/>
                <w:szCs w:val="20"/>
              </w:rPr>
              <w:br/>
            </w:r>
            <w:r w:rsidRPr="00021F92">
              <w:rPr>
                <w:rFonts w:ascii="Arial" w:eastAsia="Times New Roman" w:hAnsi="Arial" w:cs="Arial"/>
                <w:color w:val="000000"/>
                <w:sz w:val="20"/>
                <w:szCs w:val="20"/>
              </w:rPr>
              <w:br/>
              <w:t>Our Risk Consulting practice provides clients with a range of Advisory and Assurance services focused on strengthening business resilience, managing business risks, and driving business performance. These services include: </w:t>
            </w:r>
          </w:p>
          <w:p w14:paraId="6A2CE1B7" w14:textId="77777777" w:rsidR="00E91607" w:rsidRPr="00021F92" w:rsidRDefault="00E91607" w:rsidP="00E91607">
            <w:pPr>
              <w:numPr>
                <w:ilvl w:val="0"/>
                <w:numId w:val="22"/>
              </w:numPr>
              <w:spacing w:before="100" w:beforeAutospacing="1"/>
              <w:rPr>
                <w:rFonts w:ascii="Arial" w:eastAsia="Times New Roman" w:hAnsi="Arial" w:cs="Arial"/>
                <w:color w:val="000000"/>
                <w:sz w:val="20"/>
                <w:szCs w:val="20"/>
              </w:rPr>
            </w:pPr>
            <w:r w:rsidRPr="00021F92">
              <w:rPr>
                <w:rFonts w:ascii="Arial" w:eastAsia="Times New Roman" w:hAnsi="Arial" w:cs="Arial"/>
                <w:color w:val="000000"/>
                <w:sz w:val="20"/>
                <w:szCs w:val="20"/>
              </w:rPr>
              <w:t>Technology Risk Consulting (TRC)</w:t>
            </w:r>
          </w:p>
          <w:p w14:paraId="56DC0E55" w14:textId="77777777" w:rsidR="00E91607" w:rsidRPr="00021F92" w:rsidRDefault="00E91607" w:rsidP="00E91607">
            <w:pPr>
              <w:numPr>
                <w:ilvl w:val="0"/>
                <w:numId w:val="22"/>
              </w:numPr>
              <w:spacing w:before="100" w:beforeAutospacing="1"/>
              <w:jc w:val="both"/>
              <w:rPr>
                <w:rFonts w:ascii="Arial" w:eastAsia="Times New Roman" w:hAnsi="Arial" w:cs="Arial"/>
                <w:color w:val="000000"/>
                <w:sz w:val="20"/>
                <w:szCs w:val="20"/>
              </w:rPr>
            </w:pPr>
            <w:r w:rsidRPr="00021F92">
              <w:rPr>
                <w:rFonts w:ascii="Arial" w:eastAsia="Times New Roman" w:hAnsi="Arial" w:cs="Arial"/>
                <w:b/>
                <w:bCs/>
                <w:color w:val="000000"/>
                <w:sz w:val="20"/>
                <w:szCs w:val="20"/>
              </w:rPr>
              <w:t>Internal Audit, Risk and Compliance Services (IARCS)</w:t>
            </w:r>
          </w:p>
          <w:p w14:paraId="531EBF73" w14:textId="77777777" w:rsidR="00E91607" w:rsidRPr="00021F92" w:rsidRDefault="00E91607" w:rsidP="00E91607">
            <w:pPr>
              <w:numPr>
                <w:ilvl w:val="0"/>
                <w:numId w:val="22"/>
              </w:numPr>
              <w:spacing w:before="100" w:beforeAutospacing="1"/>
              <w:jc w:val="both"/>
              <w:rPr>
                <w:rFonts w:ascii="Arial" w:eastAsia="Times New Roman" w:hAnsi="Arial" w:cs="Arial"/>
                <w:color w:val="000000"/>
                <w:sz w:val="20"/>
                <w:szCs w:val="20"/>
              </w:rPr>
            </w:pPr>
            <w:r w:rsidRPr="00021F92">
              <w:rPr>
                <w:rFonts w:ascii="Arial" w:eastAsia="Times New Roman" w:hAnsi="Arial" w:cs="Arial"/>
                <w:color w:val="000000"/>
                <w:sz w:val="20"/>
                <w:szCs w:val="20"/>
              </w:rPr>
              <w:t>Financial Risk Management (FRM)</w:t>
            </w:r>
          </w:p>
          <w:p w14:paraId="64796A02" w14:textId="02DBADFB" w:rsidR="00E91607" w:rsidRDefault="00E91607" w:rsidP="00B22671">
            <w:pPr>
              <w:numPr>
                <w:ilvl w:val="0"/>
                <w:numId w:val="22"/>
              </w:numPr>
              <w:spacing w:before="100" w:beforeAutospacing="1"/>
              <w:jc w:val="both"/>
              <w:rPr>
                <w:rFonts w:ascii="Arial" w:eastAsia="Times New Roman" w:hAnsi="Arial" w:cs="Arial"/>
                <w:color w:val="000000"/>
                <w:sz w:val="20"/>
                <w:szCs w:val="20"/>
              </w:rPr>
            </w:pPr>
            <w:r w:rsidRPr="00021F92">
              <w:rPr>
                <w:rFonts w:ascii="Arial" w:eastAsia="Times New Roman" w:hAnsi="Arial" w:cs="Arial"/>
                <w:color w:val="000000"/>
                <w:sz w:val="20"/>
                <w:szCs w:val="20"/>
              </w:rPr>
              <w:t>Forensic and Investigative Accounting (FOR)</w:t>
            </w:r>
          </w:p>
          <w:p w14:paraId="40AE2C0F" w14:textId="77777777" w:rsidR="00B22671" w:rsidRPr="00B22671" w:rsidRDefault="00B22671" w:rsidP="00B22671">
            <w:pPr>
              <w:spacing w:before="100" w:beforeAutospacing="1"/>
              <w:ind w:left="720"/>
              <w:jc w:val="both"/>
              <w:rPr>
                <w:rFonts w:ascii="Arial" w:eastAsia="Times New Roman" w:hAnsi="Arial" w:cs="Arial"/>
                <w:color w:val="000000"/>
                <w:sz w:val="20"/>
                <w:szCs w:val="20"/>
              </w:rPr>
            </w:pPr>
          </w:p>
          <w:p w14:paraId="20E4ADE3" w14:textId="77777777" w:rsidR="00E91607" w:rsidRPr="00021F92" w:rsidRDefault="00E91607" w:rsidP="00E91607">
            <w:pPr>
              <w:contextualSpacing/>
              <w:rPr>
                <w:rFonts w:ascii="Arial" w:eastAsia="Times New Roman" w:hAnsi="Arial" w:cs="Arial"/>
                <w:color w:val="333333"/>
                <w:sz w:val="20"/>
                <w:szCs w:val="20"/>
              </w:rPr>
            </w:pPr>
            <w:r w:rsidRPr="00021F92">
              <w:rPr>
                <w:rFonts w:ascii="Arial" w:eastAsia="Times New Roman" w:hAnsi="Arial" w:cs="Arial"/>
                <w:color w:val="000000"/>
                <w:sz w:val="20"/>
                <w:szCs w:val="20"/>
              </w:rPr>
              <w:t xml:space="preserve">Our </w:t>
            </w:r>
            <w:r w:rsidRPr="00021F92">
              <w:rPr>
                <w:rFonts w:ascii="Arial" w:eastAsia="Times New Roman" w:hAnsi="Arial" w:cs="Arial"/>
                <w:b/>
                <w:bCs/>
                <w:color w:val="000000"/>
                <w:sz w:val="20"/>
                <w:szCs w:val="20"/>
              </w:rPr>
              <w:t xml:space="preserve">Internal Audit, Risk and Compliance Services (IARCS) </w:t>
            </w:r>
            <w:r w:rsidRPr="00021F92">
              <w:rPr>
                <w:rFonts w:ascii="Arial" w:eastAsia="Times New Roman" w:hAnsi="Arial" w:cs="Arial"/>
                <w:color w:val="000000"/>
                <w:sz w:val="20"/>
                <w:szCs w:val="20"/>
              </w:rPr>
              <w:t>professionals provide a range of assurance and advisory services to enhance the efficiency and effectiveness of internal audit functions, enterprise risk management programs, third-party relationships, regulatory compliance, governance and sustainability initiatives. We analyze and assess an organization’s business strategies and related business processes and systems to help management understand and address business objectives, requirements, risks, controls, and improvement opportunities. Our professionals bring both deep technical and industry experience, allowing clients to strengthen their key governance, risk management and compliance efforts while optimizing business performance.</w:t>
            </w:r>
            <w:r w:rsidRPr="00021F92">
              <w:rPr>
                <w:rFonts w:ascii="Arial" w:eastAsia="Times New Roman" w:hAnsi="Arial" w:cs="Arial"/>
                <w:color w:val="333333"/>
                <w:sz w:val="20"/>
                <w:szCs w:val="20"/>
              </w:rPr>
              <w:br/>
            </w:r>
            <w:r w:rsidRPr="00021F92">
              <w:rPr>
                <w:rFonts w:ascii="Arial" w:eastAsia="Times New Roman" w:hAnsi="Arial" w:cs="Arial"/>
                <w:color w:val="333333"/>
                <w:sz w:val="20"/>
                <w:szCs w:val="20"/>
              </w:rPr>
              <w:br/>
            </w:r>
            <w:r w:rsidRPr="00021F92">
              <w:rPr>
                <w:rFonts w:ascii="Arial" w:eastAsia="Times New Roman" w:hAnsi="Arial" w:cs="Arial"/>
                <w:color w:val="000000"/>
                <w:sz w:val="20"/>
                <w:szCs w:val="20"/>
              </w:rPr>
              <w:t>Example IARCS services include:</w:t>
            </w:r>
            <w:r w:rsidRPr="00021F92">
              <w:rPr>
                <w:rFonts w:ascii="Arial" w:eastAsia="Times New Roman" w:hAnsi="Arial" w:cs="Arial"/>
                <w:color w:val="333333"/>
                <w:sz w:val="20"/>
                <w:szCs w:val="20"/>
              </w:rPr>
              <w:br/>
              <w:t> </w:t>
            </w:r>
          </w:p>
          <w:p w14:paraId="7FEFAB29" w14:textId="2A3A78F0" w:rsidR="00E91607" w:rsidRPr="00D07194" w:rsidRDefault="00E91607" w:rsidP="00E91607">
            <w:pPr>
              <w:numPr>
                <w:ilvl w:val="0"/>
                <w:numId w:val="23"/>
              </w:numPr>
              <w:spacing w:before="100" w:beforeAutospacing="1"/>
              <w:contextualSpacing/>
              <w:rPr>
                <w:rFonts w:ascii="Arial" w:eastAsia="Times New Roman" w:hAnsi="Arial" w:cs="Arial"/>
                <w:color w:val="333333"/>
                <w:sz w:val="20"/>
                <w:szCs w:val="20"/>
              </w:rPr>
            </w:pPr>
            <w:r w:rsidRPr="00021F92">
              <w:rPr>
                <w:rFonts w:ascii="Arial" w:eastAsia="Times New Roman" w:hAnsi="Arial" w:cs="Arial"/>
                <w:b/>
                <w:bCs/>
                <w:color w:val="000000"/>
                <w:sz w:val="20"/>
                <w:szCs w:val="20"/>
              </w:rPr>
              <w:t>Internal Audit</w:t>
            </w:r>
            <w:r w:rsidRPr="00021F92">
              <w:rPr>
                <w:rFonts w:ascii="Arial" w:eastAsia="Times New Roman" w:hAnsi="Arial" w:cs="Arial"/>
                <w:color w:val="000000"/>
                <w:sz w:val="20"/>
                <w:szCs w:val="20"/>
              </w:rPr>
              <w:t xml:space="preserve"> – provision of internal audit projects, including subject matter expertise required for topic-specific internal audits.</w:t>
            </w:r>
          </w:p>
          <w:p w14:paraId="15B49EB1" w14:textId="77777777" w:rsidR="00D07194" w:rsidRPr="00021F92" w:rsidRDefault="00D07194" w:rsidP="00D07194">
            <w:pPr>
              <w:numPr>
                <w:ilvl w:val="0"/>
                <w:numId w:val="23"/>
              </w:numPr>
              <w:spacing w:before="100" w:beforeAutospacing="1"/>
              <w:jc w:val="both"/>
              <w:rPr>
                <w:rFonts w:ascii="Arial" w:eastAsia="Times New Roman" w:hAnsi="Arial" w:cs="Arial"/>
                <w:color w:val="000000"/>
                <w:sz w:val="20"/>
                <w:szCs w:val="20"/>
              </w:rPr>
            </w:pPr>
            <w:r w:rsidRPr="00021F92">
              <w:rPr>
                <w:rFonts w:ascii="Arial" w:eastAsia="Times New Roman" w:hAnsi="Arial" w:cs="Arial"/>
                <w:b/>
                <w:bCs/>
                <w:color w:val="000000"/>
                <w:sz w:val="20"/>
                <w:szCs w:val="20"/>
              </w:rPr>
              <w:t>Internal Control Advisory and Assessment</w:t>
            </w:r>
            <w:r w:rsidRPr="00021F92">
              <w:rPr>
                <w:rFonts w:ascii="Arial" w:eastAsia="Times New Roman" w:hAnsi="Arial" w:cs="Arial"/>
                <w:color w:val="000000"/>
                <w:sz w:val="20"/>
                <w:szCs w:val="20"/>
              </w:rPr>
              <w:t xml:space="preserve"> – Documentation, evaluation, and improvement of internal controls, including but not limited to internal controls over financial reporting.</w:t>
            </w:r>
          </w:p>
          <w:p w14:paraId="4D38A88B" w14:textId="77777777" w:rsidR="00D07194" w:rsidRPr="00021F92" w:rsidRDefault="00D07194" w:rsidP="00D07194">
            <w:pPr>
              <w:numPr>
                <w:ilvl w:val="0"/>
                <w:numId w:val="23"/>
              </w:numPr>
              <w:spacing w:before="100" w:beforeAutospacing="1"/>
              <w:jc w:val="both"/>
              <w:rPr>
                <w:rFonts w:ascii="Arial" w:eastAsia="Times New Roman" w:hAnsi="Arial" w:cs="Arial"/>
                <w:color w:val="000000"/>
                <w:sz w:val="20"/>
                <w:szCs w:val="20"/>
              </w:rPr>
            </w:pPr>
            <w:r w:rsidRPr="00021F92">
              <w:rPr>
                <w:rFonts w:ascii="Arial" w:eastAsia="Times New Roman" w:hAnsi="Arial" w:cs="Arial"/>
                <w:b/>
                <w:bCs/>
                <w:color w:val="000000"/>
                <w:sz w:val="20"/>
                <w:szCs w:val="20"/>
              </w:rPr>
              <w:lastRenderedPageBreak/>
              <w:t xml:space="preserve">Enterprise Risk Assessment and Enterprise Risk Management </w:t>
            </w:r>
            <w:r w:rsidRPr="00021F92">
              <w:rPr>
                <w:rFonts w:ascii="Arial" w:eastAsia="Times New Roman" w:hAnsi="Arial" w:cs="Arial"/>
                <w:color w:val="000000"/>
                <w:sz w:val="20"/>
                <w:szCs w:val="20"/>
              </w:rPr>
              <w:t>– establishment, execution, review, and improvement of enterprise risk assessments and enterprise risk management programs</w:t>
            </w:r>
          </w:p>
          <w:p w14:paraId="11A6B7D6" w14:textId="77777777" w:rsidR="00D07194" w:rsidRPr="00021F92" w:rsidRDefault="00D07194" w:rsidP="00D07194">
            <w:pPr>
              <w:numPr>
                <w:ilvl w:val="0"/>
                <w:numId w:val="23"/>
              </w:numPr>
              <w:spacing w:before="100" w:beforeAutospacing="1"/>
              <w:jc w:val="both"/>
              <w:rPr>
                <w:rFonts w:ascii="Arial" w:eastAsia="Times New Roman" w:hAnsi="Arial" w:cs="Arial"/>
                <w:color w:val="000000"/>
                <w:sz w:val="20"/>
                <w:szCs w:val="20"/>
              </w:rPr>
            </w:pPr>
            <w:r w:rsidRPr="00021F92">
              <w:rPr>
                <w:rFonts w:ascii="Arial" w:eastAsia="Times New Roman" w:hAnsi="Arial" w:cs="Arial"/>
                <w:b/>
                <w:bCs/>
                <w:color w:val="000000"/>
                <w:sz w:val="20"/>
                <w:szCs w:val="20"/>
              </w:rPr>
              <w:t>Regulatory Compliance</w:t>
            </w:r>
            <w:r w:rsidRPr="00021F92">
              <w:rPr>
                <w:rFonts w:ascii="Arial" w:eastAsia="Times New Roman" w:hAnsi="Arial" w:cs="Arial"/>
                <w:color w:val="000000"/>
                <w:sz w:val="20"/>
                <w:szCs w:val="20"/>
              </w:rPr>
              <w:t xml:space="preserve"> – establishment, execution, assessment or audit, and improvement of regulatory compliance programs, governance, risks, and controls.</w:t>
            </w:r>
          </w:p>
          <w:p w14:paraId="43E75054" w14:textId="77777777" w:rsidR="00D07194" w:rsidRPr="00021F92" w:rsidRDefault="00D07194" w:rsidP="00D07194">
            <w:pPr>
              <w:numPr>
                <w:ilvl w:val="0"/>
                <w:numId w:val="23"/>
              </w:numPr>
              <w:spacing w:before="100" w:beforeAutospacing="1"/>
              <w:jc w:val="both"/>
              <w:rPr>
                <w:rFonts w:ascii="Arial" w:eastAsia="Times New Roman" w:hAnsi="Arial" w:cs="Arial"/>
                <w:color w:val="000000"/>
                <w:sz w:val="20"/>
                <w:szCs w:val="20"/>
              </w:rPr>
            </w:pPr>
            <w:r w:rsidRPr="00021F92">
              <w:rPr>
                <w:rFonts w:ascii="Arial" w:eastAsia="Times New Roman" w:hAnsi="Arial" w:cs="Arial"/>
                <w:b/>
                <w:bCs/>
                <w:color w:val="000000"/>
                <w:sz w:val="20"/>
                <w:szCs w:val="20"/>
              </w:rPr>
              <w:t xml:space="preserve">Contract Compliance </w:t>
            </w:r>
            <w:r w:rsidRPr="00021F92">
              <w:rPr>
                <w:rFonts w:ascii="Arial" w:eastAsia="Times New Roman" w:hAnsi="Arial" w:cs="Arial"/>
                <w:color w:val="000000"/>
                <w:sz w:val="20"/>
                <w:szCs w:val="20"/>
              </w:rPr>
              <w:t>– establishment, execution, assessment or audit, and improvement of contract compliance programs, governance, risks, and controls.</w:t>
            </w:r>
          </w:p>
          <w:p w14:paraId="203E6BA7" w14:textId="1C017A37" w:rsidR="00D07194" w:rsidRPr="00021F92" w:rsidRDefault="00D07194" w:rsidP="00D07194">
            <w:pPr>
              <w:numPr>
                <w:ilvl w:val="0"/>
                <w:numId w:val="23"/>
              </w:numPr>
              <w:spacing w:before="100" w:beforeAutospacing="1"/>
              <w:contextualSpacing/>
              <w:rPr>
                <w:rFonts w:ascii="Arial" w:eastAsia="Times New Roman" w:hAnsi="Arial" w:cs="Arial"/>
                <w:color w:val="333333"/>
                <w:sz w:val="20"/>
                <w:szCs w:val="20"/>
              </w:rPr>
            </w:pPr>
            <w:r w:rsidRPr="00021F92">
              <w:rPr>
                <w:rFonts w:ascii="Arial" w:eastAsia="Times New Roman" w:hAnsi="Arial" w:cs="Arial"/>
                <w:b/>
                <w:bCs/>
                <w:color w:val="000000"/>
                <w:sz w:val="20"/>
                <w:szCs w:val="20"/>
              </w:rPr>
              <w:t>Board Advisory Services</w:t>
            </w:r>
            <w:r w:rsidRPr="00021F92">
              <w:rPr>
                <w:rFonts w:ascii="Arial" w:eastAsia="Times New Roman" w:hAnsi="Arial" w:cs="Arial"/>
                <w:color w:val="000000"/>
                <w:sz w:val="20"/>
                <w:szCs w:val="20"/>
              </w:rPr>
              <w:t xml:space="preserve"> - assessing Board effectiveness and helping improve Board performance by aligning functions and performance to leading practices in corporate governance.</w:t>
            </w:r>
          </w:p>
          <w:p w14:paraId="69506BBC" w14:textId="738215D5" w:rsidR="008D5880" w:rsidRDefault="008D5880" w:rsidP="00696AAD">
            <w:pPr>
              <w:pStyle w:val="NoSpacing"/>
              <w:ind w:right="612"/>
              <w:rPr>
                <w:rFonts w:ascii="Arial" w:hAnsi="Arial" w:cs="Arial"/>
                <w:sz w:val="19"/>
                <w:szCs w:val="19"/>
              </w:rPr>
            </w:pPr>
          </w:p>
          <w:p w14:paraId="0A78A7C6" w14:textId="77777777" w:rsidR="00366670" w:rsidRPr="00021F92" w:rsidRDefault="00366670" w:rsidP="00366670">
            <w:pPr>
              <w:contextualSpacing/>
              <w:rPr>
                <w:rFonts w:ascii="Arial" w:eastAsia="Times New Roman" w:hAnsi="Arial" w:cs="Arial"/>
                <w:color w:val="333333"/>
                <w:sz w:val="20"/>
                <w:szCs w:val="20"/>
              </w:rPr>
            </w:pPr>
            <w:r w:rsidRPr="00021F92">
              <w:rPr>
                <w:rFonts w:ascii="Arial" w:eastAsia="Times New Roman" w:hAnsi="Arial" w:cs="Arial"/>
                <w:color w:val="000000"/>
                <w:sz w:val="20"/>
                <w:szCs w:val="20"/>
              </w:rPr>
              <w:t>As part of our Risk Consulting team, the successful candidate will be responsible for the following: </w:t>
            </w:r>
            <w:r w:rsidRPr="00021F92">
              <w:rPr>
                <w:rFonts w:ascii="Arial" w:eastAsia="Times New Roman" w:hAnsi="Arial" w:cs="Arial"/>
                <w:color w:val="333333"/>
                <w:sz w:val="20"/>
                <w:szCs w:val="20"/>
              </w:rPr>
              <w:br/>
              <w:t> </w:t>
            </w:r>
          </w:p>
          <w:p w14:paraId="51C91186" w14:textId="78982F54" w:rsidR="00366670" w:rsidRPr="00021F92" w:rsidRDefault="00366670" w:rsidP="00366670">
            <w:pPr>
              <w:numPr>
                <w:ilvl w:val="0"/>
                <w:numId w:val="24"/>
              </w:numPr>
              <w:spacing w:before="100" w:beforeAutospacing="1"/>
              <w:contextualSpacing/>
              <w:rPr>
                <w:rFonts w:ascii="Arial" w:eastAsia="Times New Roman" w:hAnsi="Arial" w:cs="Arial"/>
                <w:color w:val="333333"/>
                <w:sz w:val="20"/>
                <w:szCs w:val="20"/>
              </w:rPr>
            </w:pPr>
            <w:r w:rsidRPr="00021F92">
              <w:rPr>
                <w:rFonts w:ascii="Arial" w:eastAsia="Times New Roman" w:hAnsi="Arial" w:cs="Arial"/>
                <w:color w:val="000000"/>
                <w:sz w:val="20"/>
                <w:szCs w:val="20"/>
              </w:rPr>
              <w:t>Participating in the development, implementation and execution of</w:t>
            </w:r>
            <w:r w:rsidR="009F73C4">
              <w:rPr>
                <w:rFonts w:ascii="Arial" w:eastAsia="Times New Roman" w:hAnsi="Arial" w:cs="Arial"/>
                <w:color w:val="000000"/>
                <w:sz w:val="20"/>
                <w:szCs w:val="20"/>
              </w:rPr>
              <w:t xml:space="preserve"> audit projects</w:t>
            </w:r>
            <w:r w:rsidRPr="00021F92">
              <w:rPr>
                <w:rFonts w:ascii="Arial" w:eastAsia="Times New Roman" w:hAnsi="Arial" w:cs="Arial"/>
                <w:color w:val="000000"/>
                <w:sz w:val="20"/>
                <w:szCs w:val="20"/>
              </w:rPr>
              <w:t xml:space="preserve"> and providing operational risk advice.</w:t>
            </w:r>
          </w:p>
          <w:p w14:paraId="29B21D2B" w14:textId="77777777" w:rsidR="00366670" w:rsidRPr="00021F92" w:rsidRDefault="00366670" w:rsidP="00366670">
            <w:pPr>
              <w:numPr>
                <w:ilvl w:val="0"/>
                <w:numId w:val="24"/>
              </w:numPr>
              <w:spacing w:before="100" w:beforeAutospacing="1"/>
              <w:jc w:val="both"/>
              <w:rPr>
                <w:rFonts w:ascii="Arial" w:eastAsia="Times New Roman" w:hAnsi="Arial" w:cs="Arial"/>
                <w:color w:val="000000"/>
                <w:sz w:val="20"/>
                <w:szCs w:val="20"/>
              </w:rPr>
            </w:pPr>
            <w:r w:rsidRPr="00021F92">
              <w:rPr>
                <w:rFonts w:ascii="Arial" w:eastAsia="Times New Roman" w:hAnsi="Arial" w:cs="Arial"/>
                <w:color w:val="000000"/>
                <w:sz w:val="20"/>
                <w:szCs w:val="20"/>
              </w:rPr>
              <w:t>Assisting in the planning and execution of risk, control, and compliance advisory and assurance activities for internal audit, internal control, enterprise risk management, and regulatory compliance programs.</w:t>
            </w:r>
          </w:p>
          <w:p w14:paraId="3115CC25" w14:textId="77777777" w:rsidR="00366670" w:rsidRPr="00021F92" w:rsidRDefault="00366670" w:rsidP="00366670">
            <w:pPr>
              <w:numPr>
                <w:ilvl w:val="0"/>
                <w:numId w:val="24"/>
              </w:numPr>
              <w:spacing w:before="100" w:beforeAutospacing="1"/>
              <w:jc w:val="both"/>
              <w:rPr>
                <w:rFonts w:ascii="Arial" w:eastAsia="Times New Roman" w:hAnsi="Arial" w:cs="Arial"/>
                <w:color w:val="000000"/>
                <w:sz w:val="20"/>
                <w:szCs w:val="20"/>
              </w:rPr>
            </w:pPr>
            <w:r w:rsidRPr="00021F92">
              <w:rPr>
                <w:rFonts w:ascii="Arial" w:eastAsia="Times New Roman" w:hAnsi="Arial" w:cs="Arial"/>
                <w:color w:val="000000"/>
                <w:sz w:val="20"/>
                <w:szCs w:val="20"/>
              </w:rPr>
              <w:t>Supporting the development, documentation, and assessment of objectives, risks, controls, organizations, business processes, systems, reports, and programs/projects across a wide variety of environments.</w:t>
            </w:r>
          </w:p>
          <w:p w14:paraId="2C4572E5" w14:textId="77777777" w:rsidR="00366670" w:rsidRPr="00021F92" w:rsidRDefault="00366670" w:rsidP="00366670">
            <w:pPr>
              <w:numPr>
                <w:ilvl w:val="0"/>
                <w:numId w:val="24"/>
              </w:numPr>
              <w:spacing w:before="100" w:beforeAutospacing="1"/>
              <w:jc w:val="both"/>
              <w:rPr>
                <w:rFonts w:ascii="Arial" w:eastAsia="Times New Roman" w:hAnsi="Arial" w:cs="Arial"/>
                <w:color w:val="000000"/>
                <w:sz w:val="20"/>
                <w:szCs w:val="20"/>
              </w:rPr>
            </w:pPr>
            <w:r w:rsidRPr="00021F92">
              <w:rPr>
                <w:rFonts w:ascii="Arial" w:eastAsia="Times New Roman" w:hAnsi="Arial" w:cs="Arial"/>
                <w:color w:val="000000"/>
                <w:sz w:val="20"/>
                <w:szCs w:val="20"/>
              </w:rPr>
              <w:t>Providing readiness assessments and monitoring progress on various projects/programs/activities.</w:t>
            </w:r>
          </w:p>
          <w:p w14:paraId="7F5591A8" w14:textId="77777777" w:rsidR="00366670" w:rsidRPr="00021F92" w:rsidRDefault="00366670" w:rsidP="00366670">
            <w:pPr>
              <w:numPr>
                <w:ilvl w:val="0"/>
                <w:numId w:val="24"/>
              </w:numPr>
              <w:spacing w:before="100" w:beforeAutospacing="1"/>
              <w:jc w:val="both"/>
              <w:rPr>
                <w:rFonts w:ascii="Arial" w:eastAsia="Times New Roman" w:hAnsi="Arial" w:cs="Arial"/>
                <w:color w:val="000000"/>
                <w:sz w:val="20"/>
                <w:szCs w:val="20"/>
              </w:rPr>
            </w:pPr>
            <w:r w:rsidRPr="00021F92">
              <w:rPr>
                <w:rFonts w:ascii="Arial" w:eastAsia="Times New Roman" w:hAnsi="Arial" w:cs="Arial"/>
                <w:color w:val="000000"/>
                <w:sz w:val="20"/>
                <w:szCs w:val="20"/>
              </w:rPr>
              <w:t>Communicating (written and verbal) findings and recommendations to the client including technical and business communication to management through the preparation of reports and analyses; preparation of advisory and assurance reports and related deliverables for internal audit, internal control, risk management, and compliance programs.</w:t>
            </w:r>
          </w:p>
          <w:p w14:paraId="10C1CB67" w14:textId="77777777" w:rsidR="00366670" w:rsidRPr="00021F92" w:rsidRDefault="00366670" w:rsidP="00366670">
            <w:pPr>
              <w:numPr>
                <w:ilvl w:val="0"/>
                <w:numId w:val="24"/>
              </w:numPr>
              <w:spacing w:before="100" w:beforeAutospacing="1"/>
              <w:jc w:val="both"/>
              <w:rPr>
                <w:rFonts w:ascii="Arial" w:eastAsia="Times New Roman" w:hAnsi="Arial" w:cs="Arial"/>
                <w:color w:val="000000"/>
                <w:sz w:val="20"/>
                <w:szCs w:val="20"/>
              </w:rPr>
            </w:pPr>
            <w:r w:rsidRPr="00021F92">
              <w:rPr>
                <w:rFonts w:ascii="Arial" w:eastAsia="Times New Roman" w:hAnsi="Arial" w:cs="Arial"/>
                <w:color w:val="000000"/>
                <w:sz w:val="20"/>
                <w:szCs w:val="20"/>
              </w:rPr>
              <w:t xml:space="preserve">Providing technical expertise to support other services. </w:t>
            </w:r>
          </w:p>
          <w:p w14:paraId="48C26BF3" w14:textId="3F352FB5" w:rsidR="007E44CB" w:rsidRPr="004D52BB" w:rsidRDefault="00366670" w:rsidP="004D52BB">
            <w:pPr>
              <w:numPr>
                <w:ilvl w:val="0"/>
                <w:numId w:val="24"/>
              </w:numPr>
              <w:spacing w:before="100" w:beforeAutospacing="1"/>
              <w:jc w:val="both"/>
              <w:rPr>
                <w:rFonts w:ascii="Arial" w:eastAsia="Times New Roman" w:hAnsi="Arial" w:cs="Arial"/>
                <w:color w:val="000000"/>
                <w:sz w:val="20"/>
                <w:szCs w:val="20"/>
              </w:rPr>
            </w:pPr>
            <w:r w:rsidRPr="00021F92">
              <w:rPr>
                <w:rFonts w:ascii="Arial" w:eastAsia="Times New Roman" w:hAnsi="Arial" w:cs="Arial"/>
                <w:color w:val="000000"/>
                <w:sz w:val="20"/>
                <w:szCs w:val="20"/>
              </w:rPr>
              <w:t>Contributing to other practice initiatives, including but not limited to knowledge sharing, HR initiatives, and practice management activities.  </w:t>
            </w:r>
          </w:p>
          <w:p w14:paraId="290DC045" w14:textId="77777777" w:rsidR="00A72F25" w:rsidRPr="00C20199" w:rsidRDefault="00A72F25" w:rsidP="00696AAD">
            <w:pPr>
              <w:ind w:right="612"/>
              <w:rPr>
                <w:rFonts w:ascii="Arial" w:hAnsi="Arial" w:cs="Arial"/>
                <w:sz w:val="19"/>
                <w:szCs w:val="19"/>
              </w:rPr>
            </w:pPr>
          </w:p>
          <w:p w14:paraId="4BCC8875" w14:textId="55A98406" w:rsidR="00A72F25" w:rsidRDefault="00A72F25" w:rsidP="00696AAD">
            <w:pPr>
              <w:ind w:right="612"/>
              <w:rPr>
                <w:rFonts w:ascii="Arial" w:eastAsia="Times New Roman" w:hAnsi="Arial" w:cs="Arial"/>
                <w:b/>
                <w:bCs/>
                <w:color w:val="00338D"/>
                <w:sz w:val="21"/>
                <w:szCs w:val="21"/>
                <w:lang w:eastAsia="fr-CA"/>
              </w:rPr>
            </w:pPr>
            <w:r w:rsidRPr="000736EC">
              <w:rPr>
                <w:rFonts w:ascii="Arial" w:eastAsia="Times New Roman" w:hAnsi="Arial" w:cs="Arial"/>
                <w:b/>
                <w:bCs/>
                <w:color w:val="00338D"/>
                <w:sz w:val="21"/>
                <w:szCs w:val="21"/>
                <w:lang w:eastAsia="fr-CA"/>
              </w:rPr>
              <w:t>What you bring to the role:</w:t>
            </w:r>
          </w:p>
          <w:p w14:paraId="633AB750" w14:textId="60744E04" w:rsidR="003258BE" w:rsidRDefault="003258BE" w:rsidP="00696AAD">
            <w:pPr>
              <w:ind w:right="612"/>
              <w:rPr>
                <w:rFonts w:ascii="Arial" w:eastAsia="Times New Roman" w:hAnsi="Arial" w:cs="Arial"/>
                <w:color w:val="333333"/>
                <w:sz w:val="20"/>
                <w:szCs w:val="20"/>
              </w:rPr>
            </w:pPr>
            <w:r w:rsidRPr="00021F92">
              <w:rPr>
                <w:rFonts w:ascii="Arial" w:eastAsia="Times New Roman" w:hAnsi="Arial" w:cs="Arial"/>
                <w:color w:val="000000"/>
                <w:sz w:val="20"/>
                <w:szCs w:val="20"/>
              </w:rPr>
              <w:t xml:space="preserve">A successful candidate will possess a strong mixture of education, experience, skills and </w:t>
            </w:r>
            <w:proofErr w:type="spellStart"/>
            <w:r w:rsidRPr="00021F92">
              <w:rPr>
                <w:rFonts w:ascii="Arial" w:eastAsia="Times New Roman" w:hAnsi="Arial" w:cs="Arial"/>
                <w:color w:val="000000"/>
                <w:sz w:val="20"/>
                <w:szCs w:val="20"/>
              </w:rPr>
              <w:t>behaviours</w:t>
            </w:r>
            <w:proofErr w:type="spellEnd"/>
            <w:r w:rsidRPr="00021F92">
              <w:rPr>
                <w:rFonts w:ascii="Arial" w:eastAsia="Times New Roman" w:hAnsi="Arial" w:cs="Arial"/>
                <w:color w:val="000000"/>
                <w:sz w:val="20"/>
                <w:szCs w:val="20"/>
              </w:rPr>
              <w:t xml:space="preserve"> such as the following: </w:t>
            </w:r>
            <w:r w:rsidRPr="00021F92">
              <w:rPr>
                <w:rFonts w:ascii="Arial" w:eastAsia="Times New Roman" w:hAnsi="Arial" w:cs="Arial"/>
                <w:color w:val="333333"/>
                <w:sz w:val="20"/>
                <w:szCs w:val="20"/>
              </w:rPr>
              <w:t> </w:t>
            </w:r>
          </w:p>
          <w:p w14:paraId="10763371" w14:textId="77777777" w:rsidR="00E64CAD" w:rsidRPr="00021F92" w:rsidRDefault="00E64CAD" w:rsidP="00E64CAD">
            <w:pPr>
              <w:numPr>
                <w:ilvl w:val="0"/>
                <w:numId w:val="25"/>
              </w:numPr>
              <w:spacing w:before="100" w:beforeAutospacing="1"/>
              <w:contextualSpacing/>
              <w:jc w:val="both"/>
              <w:rPr>
                <w:rFonts w:ascii="Arial" w:eastAsia="Times New Roman" w:hAnsi="Arial" w:cs="Arial"/>
                <w:color w:val="000000"/>
                <w:sz w:val="20"/>
                <w:szCs w:val="20"/>
              </w:rPr>
            </w:pPr>
            <w:r w:rsidRPr="00021F92">
              <w:rPr>
                <w:rFonts w:ascii="Arial" w:eastAsia="Times New Roman" w:hAnsi="Arial" w:cs="Arial"/>
                <w:color w:val="000000"/>
                <w:sz w:val="20"/>
                <w:szCs w:val="20"/>
              </w:rPr>
              <w:t xml:space="preserve">Bachelor’s degree (or higher) in Business Administration, Commerce, or </w:t>
            </w:r>
            <w:proofErr w:type="gramStart"/>
            <w:r w:rsidRPr="00021F92">
              <w:rPr>
                <w:rFonts w:ascii="Arial" w:eastAsia="Times New Roman" w:hAnsi="Arial" w:cs="Arial"/>
                <w:color w:val="000000"/>
                <w:sz w:val="20"/>
                <w:szCs w:val="20"/>
              </w:rPr>
              <w:t>other</w:t>
            </w:r>
            <w:proofErr w:type="gramEnd"/>
            <w:r w:rsidRPr="00021F92">
              <w:rPr>
                <w:rFonts w:ascii="Arial" w:eastAsia="Times New Roman" w:hAnsi="Arial" w:cs="Arial"/>
                <w:color w:val="000000"/>
                <w:sz w:val="20"/>
                <w:szCs w:val="20"/>
              </w:rPr>
              <w:t xml:space="preserve"> relevant program required.</w:t>
            </w:r>
          </w:p>
          <w:p w14:paraId="21A03298" w14:textId="6FF8A155" w:rsidR="00E64CAD" w:rsidRDefault="00E64CAD" w:rsidP="00E64CAD">
            <w:pPr>
              <w:numPr>
                <w:ilvl w:val="0"/>
                <w:numId w:val="25"/>
              </w:numPr>
              <w:spacing w:before="100" w:beforeAutospacing="1"/>
              <w:jc w:val="both"/>
              <w:rPr>
                <w:rFonts w:ascii="Arial" w:eastAsia="Times New Roman" w:hAnsi="Arial" w:cs="Arial"/>
                <w:color w:val="000000"/>
                <w:sz w:val="20"/>
                <w:szCs w:val="20"/>
              </w:rPr>
            </w:pPr>
            <w:r w:rsidRPr="00021F92">
              <w:rPr>
                <w:rFonts w:ascii="Arial" w:eastAsia="Times New Roman" w:hAnsi="Arial" w:cs="Arial"/>
                <w:color w:val="000000"/>
                <w:sz w:val="20"/>
                <w:szCs w:val="20"/>
              </w:rPr>
              <w:t>Working towards or holding a relevant accounting/audit designation(s) (e.g. CPA, CIA, and/or CISA) is strongly preferred.</w:t>
            </w:r>
          </w:p>
          <w:p w14:paraId="595D7A3F" w14:textId="77777777" w:rsidR="002750BA" w:rsidRPr="00021F92" w:rsidRDefault="002750BA" w:rsidP="002750BA">
            <w:pPr>
              <w:numPr>
                <w:ilvl w:val="0"/>
                <w:numId w:val="25"/>
              </w:numPr>
              <w:spacing w:before="100" w:beforeAutospacing="1"/>
              <w:jc w:val="both"/>
              <w:rPr>
                <w:rFonts w:ascii="Arial" w:eastAsia="Times New Roman" w:hAnsi="Arial" w:cs="Arial"/>
                <w:color w:val="000000"/>
                <w:sz w:val="20"/>
                <w:szCs w:val="20"/>
              </w:rPr>
            </w:pPr>
            <w:r w:rsidRPr="00021F92">
              <w:rPr>
                <w:rFonts w:ascii="Arial" w:eastAsia="Times New Roman" w:hAnsi="Arial" w:cs="Arial"/>
                <w:color w:val="000000"/>
                <w:sz w:val="20"/>
                <w:szCs w:val="20"/>
              </w:rPr>
              <w:t>Highly motivated, committed self-starter who can prioritize work, multi-task and cope with changing priorities.</w:t>
            </w:r>
          </w:p>
          <w:p w14:paraId="7227983A" w14:textId="77777777" w:rsidR="002750BA" w:rsidRPr="00021F92" w:rsidRDefault="002750BA" w:rsidP="002750BA">
            <w:pPr>
              <w:numPr>
                <w:ilvl w:val="0"/>
                <w:numId w:val="25"/>
              </w:numPr>
              <w:spacing w:before="100" w:beforeAutospacing="1"/>
              <w:jc w:val="both"/>
              <w:rPr>
                <w:rFonts w:ascii="Arial" w:eastAsia="Times New Roman" w:hAnsi="Arial" w:cs="Arial"/>
                <w:color w:val="000000"/>
                <w:sz w:val="20"/>
                <w:szCs w:val="20"/>
              </w:rPr>
            </w:pPr>
            <w:r w:rsidRPr="00021F92">
              <w:rPr>
                <w:rFonts w:ascii="Arial" w:eastAsia="Times New Roman" w:hAnsi="Arial" w:cs="Arial"/>
                <w:color w:val="000000"/>
                <w:sz w:val="20"/>
                <w:szCs w:val="20"/>
              </w:rPr>
              <w:t>Demonstrated ability to learn and succeed in a fast-paced environment.</w:t>
            </w:r>
          </w:p>
          <w:p w14:paraId="7407E500" w14:textId="77777777" w:rsidR="002750BA" w:rsidRPr="00021F92" w:rsidRDefault="002750BA" w:rsidP="002750BA">
            <w:pPr>
              <w:numPr>
                <w:ilvl w:val="0"/>
                <w:numId w:val="25"/>
              </w:numPr>
              <w:spacing w:before="100" w:beforeAutospacing="1"/>
              <w:jc w:val="both"/>
              <w:rPr>
                <w:rFonts w:ascii="Arial" w:eastAsia="Times New Roman" w:hAnsi="Arial" w:cs="Arial"/>
                <w:color w:val="000000"/>
                <w:sz w:val="20"/>
                <w:szCs w:val="20"/>
              </w:rPr>
            </w:pPr>
            <w:r w:rsidRPr="00021F92">
              <w:rPr>
                <w:rFonts w:ascii="Arial" w:eastAsia="Times New Roman" w:hAnsi="Arial" w:cs="Arial"/>
                <w:color w:val="000000"/>
                <w:sz w:val="20"/>
                <w:szCs w:val="20"/>
              </w:rPr>
              <w:t>Must be organized and methodical, with strong attention to detail and ability to analyze and interpret information.</w:t>
            </w:r>
          </w:p>
          <w:p w14:paraId="6DE91B9F" w14:textId="77777777" w:rsidR="002750BA" w:rsidRPr="00021F92" w:rsidRDefault="002750BA" w:rsidP="002750BA">
            <w:pPr>
              <w:numPr>
                <w:ilvl w:val="0"/>
                <w:numId w:val="25"/>
              </w:numPr>
              <w:spacing w:before="100" w:beforeAutospacing="1"/>
              <w:jc w:val="both"/>
              <w:rPr>
                <w:rFonts w:ascii="Arial" w:eastAsia="Times New Roman" w:hAnsi="Arial" w:cs="Arial"/>
                <w:color w:val="000000"/>
                <w:sz w:val="20"/>
                <w:szCs w:val="20"/>
              </w:rPr>
            </w:pPr>
            <w:r w:rsidRPr="00021F92">
              <w:rPr>
                <w:rFonts w:ascii="Arial" w:eastAsia="Times New Roman" w:hAnsi="Arial" w:cs="Arial"/>
                <w:color w:val="000000"/>
                <w:sz w:val="20"/>
                <w:szCs w:val="20"/>
              </w:rPr>
              <w:t>Excellent oral and written communication skills.</w:t>
            </w:r>
          </w:p>
          <w:p w14:paraId="22D58EE3" w14:textId="77777777" w:rsidR="002750BA" w:rsidRPr="00021F92" w:rsidRDefault="002750BA" w:rsidP="002750BA">
            <w:pPr>
              <w:numPr>
                <w:ilvl w:val="0"/>
                <w:numId w:val="25"/>
              </w:numPr>
              <w:spacing w:before="100" w:beforeAutospacing="1"/>
              <w:jc w:val="both"/>
              <w:rPr>
                <w:rFonts w:ascii="Arial" w:eastAsia="Times New Roman" w:hAnsi="Arial" w:cs="Arial"/>
                <w:color w:val="000000"/>
                <w:sz w:val="20"/>
                <w:szCs w:val="20"/>
              </w:rPr>
            </w:pPr>
            <w:r w:rsidRPr="00021F92">
              <w:rPr>
                <w:rFonts w:ascii="Arial" w:eastAsia="Times New Roman" w:hAnsi="Arial" w:cs="Arial"/>
                <w:color w:val="000000"/>
                <w:sz w:val="20"/>
                <w:szCs w:val="20"/>
              </w:rPr>
              <w:t>Strong interpersonal skills and professional maturity; demonstrated ability to effectively interact and build relationships with a diverse group of clients and colleagues.</w:t>
            </w:r>
          </w:p>
          <w:p w14:paraId="75D75222" w14:textId="77777777" w:rsidR="002750BA" w:rsidRPr="00021F92" w:rsidRDefault="002750BA" w:rsidP="002750BA">
            <w:pPr>
              <w:numPr>
                <w:ilvl w:val="0"/>
                <w:numId w:val="25"/>
              </w:numPr>
              <w:spacing w:before="100" w:beforeAutospacing="1"/>
              <w:jc w:val="both"/>
              <w:rPr>
                <w:rFonts w:ascii="Arial" w:eastAsia="Times New Roman" w:hAnsi="Arial" w:cs="Arial"/>
                <w:color w:val="000000"/>
                <w:sz w:val="20"/>
                <w:szCs w:val="20"/>
              </w:rPr>
            </w:pPr>
            <w:r w:rsidRPr="00021F92">
              <w:rPr>
                <w:rFonts w:ascii="Arial" w:eastAsia="Times New Roman" w:hAnsi="Arial" w:cs="Arial"/>
                <w:color w:val="000000"/>
                <w:sz w:val="20"/>
                <w:szCs w:val="20"/>
              </w:rPr>
              <w:t>Strong knowledge of MS Office Suite.</w:t>
            </w:r>
          </w:p>
          <w:p w14:paraId="355C549B" w14:textId="255F5554" w:rsidR="00EF6F22" w:rsidRPr="009F73C4" w:rsidRDefault="00EF6F22" w:rsidP="00EF6F22">
            <w:pPr>
              <w:numPr>
                <w:ilvl w:val="0"/>
                <w:numId w:val="25"/>
              </w:numPr>
              <w:spacing w:before="100" w:beforeAutospacing="1"/>
              <w:jc w:val="both"/>
              <w:rPr>
                <w:rFonts w:ascii="Arial" w:eastAsia="Times New Roman" w:hAnsi="Arial" w:cs="Arial"/>
                <w:color w:val="000000"/>
                <w:sz w:val="20"/>
                <w:szCs w:val="20"/>
              </w:rPr>
            </w:pPr>
            <w:r>
              <w:rPr>
                <w:rFonts w:ascii="Arial" w:eastAsia="Times New Roman" w:hAnsi="Arial" w:cs="Arial"/>
                <w:color w:val="000000"/>
                <w:sz w:val="20"/>
                <w:szCs w:val="20"/>
              </w:rPr>
              <w:t xml:space="preserve">Ability to work virtually and independently </w:t>
            </w:r>
          </w:p>
          <w:p w14:paraId="1F6209A2" w14:textId="77777777" w:rsidR="006C7F94" w:rsidRDefault="006C7F94" w:rsidP="00696AAD">
            <w:pPr>
              <w:ind w:right="612"/>
              <w:rPr>
                <w:rFonts w:ascii="Arial" w:eastAsia="Times New Roman" w:hAnsi="Arial" w:cs="Arial"/>
                <w:b/>
                <w:bCs/>
                <w:color w:val="00338D"/>
                <w:sz w:val="21"/>
                <w:szCs w:val="21"/>
                <w:lang w:eastAsia="fr-CA"/>
              </w:rPr>
            </w:pPr>
          </w:p>
          <w:p w14:paraId="66F12FA3" w14:textId="31C6E90D" w:rsidR="00572675" w:rsidRDefault="00A72F25" w:rsidP="008A75E7">
            <w:pPr>
              <w:ind w:right="612"/>
              <w:rPr>
                <w:rFonts w:ascii="Arial" w:eastAsia="Times New Roman" w:hAnsi="Arial" w:cs="Arial"/>
                <w:b/>
                <w:bCs/>
                <w:color w:val="00338D"/>
                <w:sz w:val="21"/>
                <w:szCs w:val="21"/>
                <w:lang w:eastAsia="fr-CA"/>
              </w:rPr>
            </w:pPr>
            <w:r>
              <w:rPr>
                <w:rFonts w:ascii="Arial" w:eastAsia="Times New Roman" w:hAnsi="Arial" w:cs="Arial"/>
                <w:b/>
                <w:bCs/>
                <w:color w:val="00338D"/>
                <w:sz w:val="21"/>
                <w:szCs w:val="21"/>
                <w:lang w:eastAsia="fr-CA"/>
              </w:rPr>
              <w:t xml:space="preserve">To apply: </w:t>
            </w:r>
          </w:p>
          <w:p w14:paraId="36E769D8" w14:textId="77777777" w:rsidR="00EF6F22" w:rsidRPr="00EF6F22" w:rsidRDefault="00EF6F22" w:rsidP="008A75E7">
            <w:pPr>
              <w:ind w:right="612"/>
              <w:rPr>
                <w:rFonts w:ascii="Arial" w:eastAsia="Times New Roman" w:hAnsi="Arial" w:cs="Arial"/>
                <w:b/>
                <w:bCs/>
                <w:color w:val="00338D"/>
                <w:sz w:val="21"/>
                <w:szCs w:val="21"/>
                <w:lang w:eastAsia="fr-CA"/>
              </w:rPr>
            </w:pPr>
          </w:p>
          <w:p w14:paraId="4DBD6571" w14:textId="57024563" w:rsidR="00572675" w:rsidRPr="00572675" w:rsidRDefault="00EF6F22" w:rsidP="008A75E7">
            <w:pPr>
              <w:ind w:right="612"/>
              <w:rPr>
                <w:rFonts w:ascii="Arial" w:hAnsi="Arial" w:cs="Arial"/>
                <w:b/>
                <w:sz w:val="19"/>
                <w:szCs w:val="19"/>
              </w:rPr>
            </w:pPr>
            <w:r>
              <w:rPr>
                <w:rFonts w:ascii="Arial" w:hAnsi="Arial" w:cs="Arial"/>
                <w:b/>
                <w:sz w:val="19"/>
                <w:szCs w:val="19"/>
              </w:rPr>
              <w:t>A</w:t>
            </w:r>
            <w:r w:rsidR="00572675" w:rsidRPr="00BF3E3A">
              <w:rPr>
                <w:rFonts w:ascii="Arial" w:hAnsi="Arial" w:cs="Arial"/>
                <w:b/>
                <w:sz w:val="19"/>
                <w:szCs w:val="19"/>
              </w:rPr>
              <w:t xml:space="preserve">pplications are to be submitted directly to KPMG’s website: </w:t>
            </w:r>
            <w:hyperlink r:id="rId10" w:history="1">
              <w:r w:rsidR="00CE06F8" w:rsidRPr="00452AC6">
                <w:rPr>
                  <w:rStyle w:val="Hyperlink"/>
                  <w:rFonts w:ascii="Arial" w:hAnsi="Arial" w:cs="Arial"/>
                  <w:b/>
                  <w:sz w:val="19"/>
                  <w:szCs w:val="19"/>
                </w:rPr>
                <w:t>https://students-kpmgca.icims.com/jobs/9532/kpmg-halifax-%e2%80%93-risk-consultant-opportunity/job?mode=view&amp;mobile=false&amp;width=717&amp;height=500&amp;bga=true&amp;needsRedirect=false&amp;jan1offset=-300&amp;jun1offset=-240</w:t>
              </w:r>
            </w:hyperlink>
            <w:r w:rsidR="00CE06F8">
              <w:rPr>
                <w:rFonts w:ascii="Arial" w:hAnsi="Arial" w:cs="Arial"/>
                <w:b/>
                <w:sz w:val="19"/>
                <w:szCs w:val="19"/>
              </w:rPr>
              <w:t xml:space="preserve"> </w:t>
            </w:r>
          </w:p>
          <w:p w14:paraId="5F49099C" w14:textId="77777777" w:rsidR="00B86C67" w:rsidRPr="00EF6F22" w:rsidRDefault="00B86C67" w:rsidP="00B86C67">
            <w:pPr>
              <w:ind w:right="612"/>
              <w:rPr>
                <w:rFonts w:ascii="Arial" w:hAnsi="Arial" w:cs="Arial"/>
                <w:b/>
                <w:bCs/>
                <w:sz w:val="19"/>
                <w:szCs w:val="19"/>
              </w:rPr>
            </w:pPr>
          </w:p>
          <w:p w14:paraId="1002861C" w14:textId="41D3CBA9" w:rsidR="00B86C67" w:rsidRPr="00EF6F22" w:rsidRDefault="00B86C67" w:rsidP="00EF6F22">
            <w:pPr>
              <w:contextualSpacing/>
              <w:rPr>
                <w:rFonts w:ascii="Arial" w:hAnsi="Arial" w:cs="Arial"/>
                <w:b/>
                <w:bCs/>
                <w:color w:val="0000FF"/>
              </w:rPr>
            </w:pPr>
            <w:r w:rsidRPr="00CE06F8">
              <w:rPr>
                <w:rFonts w:ascii="Arial" w:eastAsia="Times New Roman" w:hAnsi="Arial" w:cs="Arial"/>
                <w:b/>
                <w:bCs/>
                <w:color w:val="000000"/>
                <w:sz w:val="20"/>
                <w:szCs w:val="20"/>
                <w:highlight w:val="yellow"/>
              </w:rPr>
              <w:t xml:space="preserve">All applications must be received no later than </w:t>
            </w:r>
            <w:r w:rsidR="00CD0D53" w:rsidRPr="00CE06F8">
              <w:rPr>
                <w:rFonts w:ascii="Arial" w:eastAsia="Times New Roman" w:hAnsi="Arial" w:cs="Arial"/>
                <w:b/>
                <w:bCs/>
                <w:color w:val="000000"/>
                <w:sz w:val="20"/>
                <w:szCs w:val="20"/>
                <w:highlight w:val="yellow"/>
              </w:rPr>
              <w:t>July 18, 2021</w:t>
            </w:r>
            <w:r w:rsidR="0047748C" w:rsidRPr="00CE06F8">
              <w:rPr>
                <w:rFonts w:ascii="Arial" w:eastAsia="Times New Roman" w:hAnsi="Arial" w:cs="Arial"/>
                <w:b/>
                <w:bCs/>
                <w:color w:val="000000"/>
                <w:sz w:val="20"/>
                <w:szCs w:val="20"/>
                <w:highlight w:val="yellow"/>
              </w:rPr>
              <w:t xml:space="preserve"> at 11:59PM AST</w:t>
            </w:r>
            <w:r w:rsidR="00EF6F22" w:rsidRPr="00CE06F8">
              <w:rPr>
                <w:rFonts w:ascii="Arial" w:eastAsia="Times New Roman" w:hAnsi="Arial" w:cs="Arial"/>
                <w:b/>
                <w:bCs/>
                <w:color w:val="000000"/>
                <w:sz w:val="20"/>
                <w:szCs w:val="20"/>
                <w:highlight w:val="yellow"/>
              </w:rPr>
              <w:t>.</w:t>
            </w:r>
            <w:r w:rsidR="00EF6F22" w:rsidRPr="00EF6F22">
              <w:rPr>
                <w:rFonts w:ascii="Arial" w:eastAsia="Times New Roman" w:hAnsi="Arial" w:cs="Arial"/>
                <w:b/>
                <w:bCs/>
                <w:color w:val="000000"/>
                <w:sz w:val="20"/>
                <w:szCs w:val="20"/>
              </w:rPr>
              <w:t xml:space="preserve"> </w:t>
            </w:r>
          </w:p>
          <w:p w14:paraId="74FD05B3" w14:textId="1653A663" w:rsidR="00D455DA" w:rsidRDefault="00D455DA" w:rsidP="00D455DA">
            <w:pPr>
              <w:pStyle w:val="NoSpacing"/>
              <w:ind w:left="360" w:right="612"/>
              <w:rPr>
                <w:rFonts w:ascii="Arial" w:hAnsi="Arial" w:cs="Arial"/>
                <w:sz w:val="19"/>
                <w:szCs w:val="19"/>
              </w:rPr>
            </w:pPr>
          </w:p>
          <w:p w14:paraId="2222F32B" w14:textId="31D76BE0" w:rsidR="00644AFA" w:rsidRDefault="00644AFA" w:rsidP="00D455DA">
            <w:pPr>
              <w:pStyle w:val="NoSpacing"/>
              <w:ind w:left="360" w:right="612"/>
              <w:rPr>
                <w:rFonts w:ascii="Arial" w:hAnsi="Arial" w:cs="Arial"/>
                <w:sz w:val="19"/>
                <w:szCs w:val="19"/>
              </w:rPr>
            </w:pPr>
          </w:p>
          <w:p w14:paraId="30522D25" w14:textId="5B9AA3D4" w:rsidR="00644AFA" w:rsidRDefault="00644AFA" w:rsidP="00D455DA">
            <w:pPr>
              <w:pStyle w:val="NoSpacing"/>
              <w:ind w:left="360" w:right="612"/>
              <w:rPr>
                <w:rFonts w:ascii="Arial" w:hAnsi="Arial" w:cs="Arial"/>
                <w:sz w:val="19"/>
                <w:szCs w:val="19"/>
              </w:rPr>
            </w:pPr>
          </w:p>
          <w:p w14:paraId="568BEF7B" w14:textId="516F1800" w:rsidR="00644AFA" w:rsidRDefault="00644AFA" w:rsidP="00D455DA">
            <w:pPr>
              <w:pStyle w:val="NoSpacing"/>
              <w:ind w:left="360" w:right="612"/>
              <w:rPr>
                <w:rFonts w:ascii="Arial" w:hAnsi="Arial" w:cs="Arial"/>
                <w:sz w:val="19"/>
                <w:szCs w:val="19"/>
              </w:rPr>
            </w:pPr>
          </w:p>
          <w:p w14:paraId="2DF89B6E" w14:textId="356FA639" w:rsidR="00644AFA" w:rsidRDefault="00644AFA" w:rsidP="00D455DA">
            <w:pPr>
              <w:pStyle w:val="NoSpacing"/>
              <w:ind w:left="360" w:right="612"/>
              <w:rPr>
                <w:rFonts w:ascii="Arial" w:hAnsi="Arial" w:cs="Arial"/>
                <w:sz w:val="19"/>
                <w:szCs w:val="19"/>
              </w:rPr>
            </w:pPr>
          </w:p>
          <w:p w14:paraId="1748BBB1" w14:textId="5C5526C1" w:rsidR="00644AFA" w:rsidRDefault="00644AFA" w:rsidP="00D455DA">
            <w:pPr>
              <w:pStyle w:val="NoSpacing"/>
              <w:ind w:left="360" w:right="612"/>
              <w:rPr>
                <w:rFonts w:ascii="Arial" w:hAnsi="Arial" w:cs="Arial"/>
                <w:sz w:val="19"/>
                <w:szCs w:val="19"/>
              </w:rPr>
            </w:pPr>
          </w:p>
          <w:p w14:paraId="49BC8F75" w14:textId="77777777" w:rsidR="00644AFA" w:rsidRDefault="00644AFA" w:rsidP="00D455DA">
            <w:pPr>
              <w:pStyle w:val="NoSpacing"/>
              <w:ind w:left="360" w:right="612"/>
              <w:rPr>
                <w:rFonts w:ascii="Arial" w:hAnsi="Arial" w:cs="Arial"/>
                <w:sz w:val="19"/>
                <w:szCs w:val="19"/>
              </w:rPr>
            </w:pPr>
          </w:p>
          <w:p w14:paraId="5BF51FDD" w14:textId="77777777" w:rsidR="009F73C4" w:rsidRDefault="009F73C4" w:rsidP="00D455DA">
            <w:pPr>
              <w:pStyle w:val="NoSpacing"/>
              <w:ind w:left="360" w:right="612"/>
              <w:rPr>
                <w:rFonts w:ascii="Arial" w:hAnsi="Arial" w:cs="Arial"/>
                <w:sz w:val="19"/>
                <w:szCs w:val="19"/>
              </w:rPr>
            </w:pPr>
          </w:p>
          <w:p w14:paraId="0070B4DB" w14:textId="6091B984" w:rsidR="00A72F25" w:rsidRPr="00AC3257" w:rsidRDefault="00A72F25" w:rsidP="00696AAD">
            <w:pPr>
              <w:pStyle w:val="NoSpacing"/>
              <w:ind w:right="612"/>
              <w:rPr>
                <w:rFonts w:ascii="Arial" w:hAnsi="Arial" w:cs="Arial"/>
                <w:b/>
                <w:sz w:val="19"/>
                <w:szCs w:val="19"/>
              </w:rPr>
            </w:pPr>
            <w:r w:rsidRPr="008C2833">
              <w:rPr>
                <w:rFonts w:ascii="Arial" w:hAnsi="Arial" w:cs="Arial"/>
                <w:sz w:val="19"/>
                <w:szCs w:val="19"/>
              </w:rPr>
              <w:t>Our online application system will allow you to include up to five documents without losing your formatting. Applications can be addressed to</w:t>
            </w:r>
            <w:r w:rsidR="00D455DA">
              <w:rPr>
                <w:rFonts w:ascii="Arial" w:hAnsi="Arial" w:cs="Arial"/>
                <w:sz w:val="19"/>
                <w:szCs w:val="19"/>
              </w:rPr>
              <w:t xml:space="preserve"> “Hiring Manager”</w:t>
            </w:r>
            <w:r w:rsidRPr="008C2833">
              <w:rPr>
                <w:rFonts w:ascii="Arial" w:hAnsi="Arial" w:cs="Arial"/>
                <w:sz w:val="19"/>
                <w:szCs w:val="19"/>
              </w:rPr>
              <w:t xml:space="preserve"> and should include a cover letter, resume, and an electronic copy of your most recent transcript. If you do not have access to an electronic copy of your transcript, we ask that you </w:t>
            </w:r>
            <w:r>
              <w:rPr>
                <w:rFonts w:ascii="Arial" w:hAnsi="Arial" w:cs="Arial"/>
                <w:sz w:val="19"/>
                <w:szCs w:val="19"/>
              </w:rPr>
              <w:t>attach a screenshot of your grades from your school’s website</w:t>
            </w:r>
            <w:r w:rsidRPr="008C2833">
              <w:rPr>
                <w:rFonts w:ascii="Arial" w:hAnsi="Arial" w:cs="Arial"/>
                <w:sz w:val="19"/>
                <w:szCs w:val="19"/>
              </w:rPr>
              <w:t>.</w:t>
            </w:r>
            <w:r>
              <w:rPr>
                <w:rFonts w:ascii="Arial" w:hAnsi="Arial" w:cs="Arial"/>
                <w:sz w:val="19"/>
                <w:szCs w:val="19"/>
              </w:rPr>
              <w:t xml:space="preserve"> </w:t>
            </w:r>
            <w:r>
              <w:rPr>
                <w:rFonts w:ascii="Arial" w:hAnsi="Arial" w:cs="Arial"/>
                <w:b/>
                <w:sz w:val="19"/>
                <w:szCs w:val="19"/>
              </w:rPr>
              <w:t>For an easy application process, please PDF all documents into one PDF file.</w:t>
            </w:r>
          </w:p>
          <w:p w14:paraId="27A47348" w14:textId="77777777" w:rsidR="00A72F25" w:rsidRPr="008C2833" w:rsidRDefault="00A72F25" w:rsidP="00696AAD">
            <w:pPr>
              <w:pStyle w:val="NoSpacing"/>
              <w:ind w:right="612"/>
              <w:rPr>
                <w:rFonts w:ascii="Arial" w:hAnsi="Arial" w:cs="Arial"/>
                <w:sz w:val="19"/>
                <w:szCs w:val="19"/>
              </w:rPr>
            </w:pPr>
          </w:p>
          <w:p w14:paraId="6AE760BA" w14:textId="77777777" w:rsidR="00A72F25" w:rsidRPr="008C2833" w:rsidRDefault="00A72F25" w:rsidP="00696AAD">
            <w:pPr>
              <w:pStyle w:val="NoSpacing"/>
              <w:ind w:right="612"/>
              <w:rPr>
                <w:sz w:val="19"/>
                <w:szCs w:val="19"/>
              </w:rPr>
            </w:pPr>
            <w:r w:rsidRPr="008C2833">
              <w:rPr>
                <w:rFonts w:ascii="Arial" w:hAnsi="Arial" w:cs="Arial"/>
                <w:sz w:val="19"/>
                <w:szCs w:val="19"/>
              </w:rPr>
              <w:t>If you experience any difficulties with th</w:t>
            </w:r>
            <w:r>
              <w:rPr>
                <w:rFonts w:ascii="Arial" w:hAnsi="Arial" w:cs="Arial"/>
                <w:sz w:val="19"/>
                <w:szCs w:val="19"/>
              </w:rPr>
              <w:t>e online system, please contact</w:t>
            </w:r>
            <w:r>
              <w:rPr>
                <w:rFonts w:ascii="Arial" w:hAnsi="Arial" w:cs="Arial"/>
                <w:sz w:val="19"/>
                <w:szCs w:val="19"/>
              </w:rPr>
              <w:br/>
            </w:r>
            <w:r w:rsidRPr="00DB2233">
              <w:rPr>
                <w:rFonts w:ascii="Arial" w:hAnsi="Arial" w:cs="Arial"/>
                <w:color w:val="0563C1"/>
                <w:sz w:val="19"/>
                <w:szCs w:val="19"/>
                <w:u w:val="single"/>
              </w:rPr>
              <w:t>ca-fmcandidateexpcoe@kpmg.ca</w:t>
            </w:r>
            <w:r w:rsidRPr="008C2833">
              <w:rPr>
                <w:rFonts w:ascii="Arial" w:hAnsi="Arial" w:cs="Arial"/>
                <w:sz w:val="19"/>
                <w:szCs w:val="19"/>
              </w:rPr>
              <w:t>.</w:t>
            </w:r>
          </w:p>
          <w:p w14:paraId="4976BC07" w14:textId="77777777" w:rsidR="00A72F25" w:rsidRDefault="00A72F25" w:rsidP="00696AAD">
            <w:pPr>
              <w:ind w:right="612"/>
              <w:rPr>
                <w:rFonts w:ascii="Arial" w:hAnsi="Arial" w:cs="Arial"/>
                <w:b/>
                <w:color w:val="000000" w:themeColor="text1"/>
                <w:sz w:val="19"/>
                <w:szCs w:val="19"/>
              </w:rPr>
            </w:pPr>
          </w:p>
          <w:p w14:paraId="6B182724" w14:textId="618E2F65" w:rsidR="00A72F25" w:rsidRDefault="00CE06F8" w:rsidP="00696AAD">
            <w:pPr>
              <w:ind w:right="612"/>
              <w:rPr>
                <w:rFonts w:ascii="Arial" w:hAnsi="Arial" w:cs="Arial"/>
                <w:b/>
                <w:color w:val="000000" w:themeColor="text1"/>
                <w:sz w:val="19"/>
                <w:szCs w:val="19"/>
              </w:rPr>
            </w:pPr>
            <w:hyperlink r:id="rId11" w:history="1">
              <w:r w:rsidR="00A72F25" w:rsidRPr="00572675">
                <w:rPr>
                  <w:rStyle w:val="Hyperlink"/>
                  <w:rFonts w:ascii="Arial" w:hAnsi="Arial" w:cs="Arial"/>
                  <w:b/>
                  <w:sz w:val="19"/>
                  <w:szCs w:val="19"/>
                </w:rPr>
                <w:t>Learn more</w:t>
              </w:r>
            </w:hyperlink>
            <w:r w:rsidR="00A72F25">
              <w:rPr>
                <w:rFonts w:ascii="Arial" w:hAnsi="Arial" w:cs="Arial"/>
                <w:b/>
                <w:color w:val="000000" w:themeColor="text1"/>
                <w:sz w:val="19"/>
                <w:szCs w:val="19"/>
              </w:rPr>
              <w:t xml:space="preserve"> about where a career at KPMG can take you. </w:t>
            </w:r>
          </w:p>
          <w:p w14:paraId="18A27EAD" w14:textId="77777777" w:rsidR="00A72F25" w:rsidRDefault="00A72F25" w:rsidP="00696AAD">
            <w:pPr>
              <w:ind w:right="612"/>
              <w:rPr>
                <w:rFonts w:ascii="Arial" w:hAnsi="Arial" w:cs="Arial"/>
                <w:b/>
                <w:color w:val="000000" w:themeColor="text1"/>
                <w:sz w:val="19"/>
                <w:szCs w:val="19"/>
              </w:rPr>
            </w:pPr>
          </w:p>
          <w:p w14:paraId="2CE26A39" w14:textId="77777777" w:rsidR="00A72F25" w:rsidRPr="00417B71" w:rsidRDefault="00A72F25" w:rsidP="00696AAD">
            <w:pPr>
              <w:ind w:right="612"/>
              <w:rPr>
                <w:rFonts w:ascii="Arial" w:hAnsi="Arial" w:cs="Arial"/>
                <w:b/>
                <w:sz w:val="19"/>
                <w:szCs w:val="19"/>
              </w:rPr>
            </w:pPr>
          </w:p>
        </w:tc>
      </w:tr>
    </w:tbl>
    <w:p w14:paraId="3E486439" w14:textId="2C35E279" w:rsidR="00BE6F9B" w:rsidRDefault="00BE6F9B" w:rsidP="00F77859">
      <w:bookmarkStart w:id="0" w:name="_GoBack"/>
      <w:bookmarkEnd w:id="0"/>
    </w:p>
    <w:sectPr w:rsidR="00BE6F9B" w:rsidSect="00DA5373">
      <w:headerReference w:type="even" r:id="rId12"/>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F1BE3" w14:textId="77777777" w:rsidR="00D739C5" w:rsidRDefault="00D739C5" w:rsidP="00327653">
      <w:pPr>
        <w:spacing w:after="0" w:line="240" w:lineRule="auto"/>
      </w:pPr>
      <w:r>
        <w:separator/>
      </w:r>
    </w:p>
  </w:endnote>
  <w:endnote w:type="continuationSeparator" w:id="0">
    <w:p w14:paraId="0A232C66" w14:textId="77777777" w:rsidR="00D739C5" w:rsidRDefault="00D739C5" w:rsidP="0032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panose1 w:val="00000000000000000000"/>
    <w:charset w:val="00"/>
    <w:family w:val="auto"/>
    <w:pitch w:val="variable"/>
    <w:sig w:usb0="80000023" w:usb1="00000000" w:usb2="00000000" w:usb3="00000000" w:csb0="00000001" w:csb1="00000000"/>
  </w:font>
  <w:font w:name="Univers LT Std 45 Light">
    <w:altName w:val="Calibri"/>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08293" w14:textId="77777777" w:rsidR="00D739C5" w:rsidRDefault="00D739C5" w:rsidP="00327653">
      <w:pPr>
        <w:spacing w:after="0" w:line="240" w:lineRule="auto"/>
      </w:pPr>
      <w:r>
        <w:separator/>
      </w:r>
    </w:p>
  </w:footnote>
  <w:footnote w:type="continuationSeparator" w:id="0">
    <w:p w14:paraId="460A7432" w14:textId="77777777" w:rsidR="00D739C5" w:rsidRDefault="00D739C5" w:rsidP="00327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214DF" w14:textId="0168EFF8" w:rsidR="005C0908" w:rsidRDefault="005C0908">
    <w:pPr>
      <w:pStyle w:val="Header"/>
    </w:pPr>
    <w:r>
      <w:rPr>
        <w:noProof/>
      </w:rPr>
      <mc:AlternateContent>
        <mc:Choice Requires="wps">
          <w:drawing>
            <wp:anchor distT="0" distB="0" distL="114300" distR="114300" simplePos="0" relativeHeight="251663360" behindDoc="0" locked="0" layoutInCell="1" allowOverlap="1" wp14:anchorId="31CAA089" wp14:editId="21416A33">
              <wp:simplePos x="0" y="0"/>
              <wp:positionH relativeFrom="column">
                <wp:posOffset>-457200</wp:posOffset>
              </wp:positionH>
              <wp:positionV relativeFrom="paragraph">
                <wp:posOffset>-449580</wp:posOffset>
              </wp:positionV>
              <wp:extent cx="457200" cy="10050780"/>
              <wp:effectExtent l="0" t="0" r="0" b="0"/>
              <wp:wrapNone/>
              <wp:docPr id="7" name="Rectangle 374"/>
              <wp:cNvGraphicFramePr/>
              <a:graphic xmlns:a="http://schemas.openxmlformats.org/drawingml/2006/main">
                <a:graphicData uri="http://schemas.microsoft.com/office/word/2010/wordprocessingShape">
                  <wps:wsp>
                    <wps:cNvSpPr/>
                    <wps:spPr>
                      <a:xfrm>
                        <a:off x="0" y="0"/>
                        <a:ext cx="457200" cy="10050780"/>
                      </a:xfrm>
                      <a:prstGeom prst="rect">
                        <a:avLst/>
                      </a:prstGeom>
                      <a:solidFill>
                        <a:srgbClr val="005B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897B5" id="Rectangle 374" o:spid="_x0000_s1026" style="position:absolute;margin-left:-36pt;margin-top:-35.4pt;width:36pt;height:79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" fillcolor="#005bb5"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5B525" w14:textId="717337A7" w:rsidR="00327653" w:rsidRDefault="005C0908" w:rsidP="00327653">
    <w:pPr>
      <w:pStyle w:val="Header"/>
    </w:pPr>
    <w:r>
      <w:rPr>
        <w:noProof/>
      </w:rPr>
      <mc:AlternateContent>
        <mc:Choice Requires="wpg">
          <w:drawing>
            <wp:anchor distT="0" distB="0" distL="114300" distR="114300" simplePos="0" relativeHeight="251658240" behindDoc="0" locked="0" layoutInCell="1" allowOverlap="1" wp14:anchorId="6CA4EE45" wp14:editId="4C9A010B">
              <wp:simplePos x="0" y="0"/>
              <wp:positionH relativeFrom="column">
                <wp:posOffset>-457200</wp:posOffset>
              </wp:positionH>
              <wp:positionV relativeFrom="paragraph">
                <wp:posOffset>-449580</wp:posOffset>
              </wp:positionV>
              <wp:extent cx="7772432" cy="10050780"/>
              <wp:effectExtent l="0" t="0" r="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32" cy="10050780"/>
                        <a:chOff x="98276" y="0"/>
                        <a:chExt cx="7772400" cy="25680772"/>
                      </a:xfrm>
                    </wpg:grpSpPr>
                    <wps:wsp>
                      <wps:cNvPr id="4" name="Rectangle 377"/>
                      <wps:cNvSpPr/>
                      <wps:spPr>
                        <a:xfrm>
                          <a:off x="98276" y="0"/>
                          <a:ext cx="7772400" cy="2862072"/>
                        </a:xfrm>
                        <a:prstGeom prst="rect">
                          <a:avLst/>
                        </a:prstGeom>
                        <a:solidFill>
                          <a:srgbClr val="0033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374"/>
                      <wps:cNvSpPr/>
                      <wps:spPr>
                        <a:xfrm>
                          <a:off x="98276" y="0"/>
                          <a:ext cx="457200" cy="25680772"/>
                        </a:xfrm>
                        <a:prstGeom prst="rect">
                          <a:avLst/>
                        </a:prstGeom>
                        <a:solidFill>
                          <a:srgbClr val="005B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742BCB" id="Group 1" o:spid="_x0000_s1026" style="position:absolute;margin-left:-36pt;margin-top:-35.4pt;width:612pt;height:791.4pt;z-index:251658240;mso-width-relative:margin;mso-height-relative:margin" coordorigin="982" coordsize="77724,25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">
              <v:rect id="Rectangle 377" o:spid="_x0000_s1027" style="position:absolute;left:982;width:77724;height:28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" fillcolor="#00338d" stroked="f" strokeweight="1pt"/>
              <v:rect id="Rectangle 374" o:spid="_x0000_s1028" style="position:absolute;left:982;width:4572;height:25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" fillcolor="#005bb5" stroked="f" strokeweight="1pt"/>
            </v:group>
          </w:pict>
        </mc:Fallback>
      </mc:AlternateContent>
    </w:r>
    <w:r w:rsidR="00327653" w:rsidRPr="00B84727">
      <w:rPr>
        <w:noProof/>
      </w:rPr>
      <w:drawing>
        <wp:anchor distT="0" distB="0" distL="114300" distR="114300" simplePos="0" relativeHeight="251661312" behindDoc="0" locked="0" layoutInCell="1" allowOverlap="1" wp14:anchorId="28C9D4CC" wp14:editId="6C2AE41F">
          <wp:simplePos x="0" y="0"/>
          <wp:positionH relativeFrom="page">
            <wp:posOffset>784860</wp:posOffset>
          </wp:positionH>
          <wp:positionV relativeFrom="page">
            <wp:posOffset>320040</wp:posOffset>
          </wp:positionV>
          <wp:extent cx="941705" cy="3670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screen">
                    <a:extLst>
                      <a:ext uri="{28A0092B-C50C-407E-A947-70E740481C1C}">
                        <a14:useLocalDpi xmlns:a14="http://schemas.microsoft.com/office/drawing/2010/main" val="0"/>
                      </a:ext>
                    </a:extLst>
                  </a:blip>
                  <a:srcRect r="30463" b="26816"/>
                  <a:stretch/>
                </pic:blipFill>
                <pic:spPr>
                  <a:xfrm>
                    <a:off x="0" y="0"/>
                    <a:ext cx="941705" cy="367030"/>
                  </a:xfrm>
                  <a:prstGeom prst="rect">
                    <a:avLst/>
                  </a:prstGeom>
                </pic:spPr>
              </pic:pic>
            </a:graphicData>
          </a:graphic>
          <wp14:sizeRelH relativeFrom="page">
            <wp14:pctWidth>0</wp14:pctWidth>
          </wp14:sizeRelH>
          <wp14:sizeRelV relativeFrom="page">
            <wp14:pctHeight>0</wp14:pctHeight>
          </wp14:sizeRelV>
        </wp:anchor>
      </w:drawing>
    </w:r>
  </w:p>
  <w:p w14:paraId="09130B76" w14:textId="39ED8C5D" w:rsidR="00327653" w:rsidRDefault="00327653" w:rsidP="00327653">
    <w:pPr>
      <w:tabs>
        <w:tab w:val="right" w:pos="9360"/>
      </w:tabs>
      <w:ind w:right="-18"/>
    </w:pPr>
    <w:r>
      <w:rPr>
        <w:noProof/>
      </w:rPr>
      <w:drawing>
        <wp:anchor distT="0" distB="0" distL="114300" distR="114300" simplePos="0" relativeHeight="251659264" behindDoc="0" locked="0" layoutInCell="1" allowOverlap="1" wp14:anchorId="3AAB5821" wp14:editId="65C7BC9B">
          <wp:simplePos x="0" y="0"/>
          <wp:positionH relativeFrom="column">
            <wp:posOffset>-4060190</wp:posOffset>
          </wp:positionH>
          <wp:positionV relativeFrom="paragraph">
            <wp:posOffset>549275</wp:posOffset>
          </wp:positionV>
          <wp:extent cx="782955" cy="28829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82955" cy="288290"/>
                  </a:xfrm>
                  <a:prstGeom prst="rect">
                    <a:avLst/>
                  </a:prstGeom>
                  <a:noFill/>
                </pic:spPr>
              </pic:pic>
            </a:graphicData>
          </a:graphic>
        </wp:anchor>
      </w:drawing>
    </w:r>
  </w:p>
  <w:p w14:paraId="604A3628" w14:textId="7EBF398C" w:rsidR="00327653" w:rsidRDefault="00327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AF1"/>
    <w:multiLevelType w:val="hybridMultilevel"/>
    <w:tmpl w:val="EBD840A8"/>
    <w:lvl w:ilvl="0" w:tplc="B3CC1076">
      <w:start w:val="1"/>
      <w:numFmt w:val="bullet"/>
      <w:lvlText w:val=""/>
      <w:lvlJc w:val="left"/>
      <w:pPr>
        <w:ind w:left="360" w:hanging="360"/>
      </w:pPr>
      <w:rPr>
        <w:rFonts w:ascii="Symbol" w:hAnsi="Symbol"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6878C8"/>
    <w:multiLevelType w:val="hybridMultilevel"/>
    <w:tmpl w:val="97C27648"/>
    <w:lvl w:ilvl="0" w:tplc="D6287F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03F25"/>
    <w:multiLevelType w:val="multilevel"/>
    <w:tmpl w:val="39AC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10192"/>
    <w:multiLevelType w:val="hybridMultilevel"/>
    <w:tmpl w:val="E1B8F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AC5E76"/>
    <w:multiLevelType w:val="singleLevel"/>
    <w:tmpl w:val="47EC89E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15:restartNumberingAfterBreak="0">
    <w:nsid w:val="269A2425"/>
    <w:multiLevelType w:val="multilevel"/>
    <w:tmpl w:val="D2A4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C53E6"/>
    <w:multiLevelType w:val="hybridMultilevel"/>
    <w:tmpl w:val="BBA67AD4"/>
    <w:lvl w:ilvl="0" w:tplc="B3CC1076">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341DD"/>
    <w:multiLevelType w:val="hybridMultilevel"/>
    <w:tmpl w:val="D58CFCC0"/>
    <w:lvl w:ilvl="0" w:tplc="B3CC1076">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CD3504"/>
    <w:multiLevelType w:val="hybridMultilevel"/>
    <w:tmpl w:val="3740F48E"/>
    <w:lvl w:ilvl="0" w:tplc="04090005">
      <w:start w:val="1"/>
      <w:numFmt w:val="bullet"/>
      <w:lvlText w:val=""/>
      <w:lvlJc w:val="left"/>
      <w:pPr>
        <w:ind w:left="360" w:hanging="360"/>
      </w:pPr>
      <w:rPr>
        <w:rFonts w:ascii="Wingdings" w:hAnsi="Wingding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7A1C80"/>
    <w:multiLevelType w:val="hybridMultilevel"/>
    <w:tmpl w:val="4322DC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E57A9"/>
    <w:multiLevelType w:val="hybridMultilevel"/>
    <w:tmpl w:val="E0B4DD26"/>
    <w:lvl w:ilvl="0" w:tplc="65BA072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44EA2"/>
    <w:multiLevelType w:val="singleLevel"/>
    <w:tmpl w:val="04090005"/>
    <w:lvl w:ilvl="0">
      <w:start w:val="1"/>
      <w:numFmt w:val="bullet"/>
      <w:lvlText w:val=""/>
      <w:lvlJc w:val="left"/>
      <w:pPr>
        <w:ind w:left="360" w:hanging="360"/>
      </w:pPr>
      <w:rPr>
        <w:rFonts w:ascii="Wingdings" w:hAnsi="Wingdings" w:hint="default"/>
        <w:color w:val="auto"/>
        <w:sz w:val="24"/>
      </w:rPr>
    </w:lvl>
  </w:abstractNum>
  <w:abstractNum w:abstractNumId="12" w15:restartNumberingAfterBreak="0">
    <w:nsid w:val="45174648"/>
    <w:multiLevelType w:val="hybridMultilevel"/>
    <w:tmpl w:val="44D87E64"/>
    <w:lvl w:ilvl="0" w:tplc="196CBD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D2595"/>
    <w:multiLevelType w:val="hybridMultilevel"/>
    <w:tmpl w:val="0D3C0966"/>
    <w:lvl w:ilvl="0" w:tplc="B3CC1076">
      <w:start w:val="1"/>
      <w:numFmt w:val="bullet"/>
      <w:lvlText w:val=""/>
      <w:lvlJc w:val="left"/>
      <w:pPr>
        <w:ind w:left="360" w:hanging="360"/>
      </w:pPr>
      <w:rPr>
        <w:rFonts w:ascii="Symbol" w:hAnsi="Symbol"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D708FA"/>
    <w:multiLevelType w:val="hybridMultilevel"/>
    <w:tmpl w:val="B4A0CC22"/>
    <w:lvl w:ilvl="0" w:tplc="6A6E81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42640"/>
    <w:multiLevelType w:val="singleLevel"/>
    <w:tmpl w:val="F6F2511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6" w15:restartNumberingAfterBreak="0">
    <w:nsid w:val="54BE387B"/>
    <w:multiLevelType w:val="singleLevel"/>
    <w:tmpl w:val="FA82FE2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561B1FB4"/>
    <w:multiLevelType w:val="hybridMultilevel"/>
    <w:tmpl w:val="35D0C2C4"/>
    <w:lvl w:ilvl="0" w:tplc="1E0C0D5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E188A"/>
    <w:multiLevelType w:val="hybridMultilevel"/>
    <w:tmpl w:val="2714B6EC"/>
    <w:lvl w:ilvl="0" w:tplc="B3CC1076">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8D3497"/>
    <w:multiLevelType w:val="multilevel"/>
    <w:tmpl w:val="933C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75DBF"/>
    <w:multiLevelType w:val="multilevel"/>
    <w:tmpl w:val="5B64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D35801"/>
    <w:multiLevelType w:val="hybridMultilevel"/>
    <w:tmpl w:val="EB5CDDF2"/>
    <w:lvl w:ilvl="0" w:tplc="973658A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591229"/>
    <w:multiLevelType w:val="hybridMultilevel"/>
    <w:tmpl w:val="6868EFEE"/>
    <w:lvl w:ilvl="0" w:tplc="39747F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B45EA"/>
    <w:multiLevelType w:val="hybridMultilevel"/>
    <w:tmpl w:val="8CECC740"/>
    <w:lvl w:ilvl="0" w:tplc="07FC93E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F21EE"/>
    <w:multiLevelType w:val="hybridMultilevel"/>
    <w:tmpl w:val="DE226140"/>
    <w:lvl w:ilvl="0" w:tplc="B2666862">
      <w:numFmt w:val="bullet"/>
      <w:lvlText w:val="-"/>
      <w:lvlJc w:val="left"/>
      <w:pPr>
        <w:ind w:left="720" w:hanging="360"/>
      </w:pPr>
      <w:rPr>
        <w:rFonts w:ascii="Arial" w:eastAsia="Calibri" w:hAnsi="Arial" w:cs="Arial"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18"/>
  </w:num>
  <w:num w:numId="5">
    <w:abstractNumId w:val="13"/>
  </w:num>
  <w:num w:numId="6">
    <w:abstractNumId w:val="16"/>
  </w:num>
  <w:num w:numId="7">
    <w:abstractNumId w:val="6"/>
  </w:num>
  <w:num w:numId="8">
    <w:abstractNumId w:val="22"/>
  </w:num>
  <w:num w:numId="9">
    <w:abstractNumId w:val="1"/>
  </w:num>
  <w:num w:numId="10">
    <w:abstractNumId w:val="12"/>
  </w:num>
  <w:num w:numId="11">
    <w:abstractNumId w:val="14"/>
  </w:num>
  <w:num w:numId="12">
    <w:abstractNumId w:val="21"/>
  </w:num>
  <w:num w:numId="13">
    <w:abstractNumId w:val="10"/>
  </w:num>
  <w:num w:numId="14">
    <w:abstractNumId w:val="24"/>
  </w:num>
  <w:num w:numId="15">
    <w:abstractNumId w:val="17"/>
  </w:num>
  <w:num w:numId="16">
    <w:abstractNumId w:val="9"/>
  </w:num>
  <w:num w:numId="17">
    <w:abstractNumId w:val="23"/>
  </w:num>
  <w:num w:numId="18">
    <w:abstractNumId w:val="8"/>
  </w:num>
  <w:num w:numId="19">
    <w:abstractNumId w:val="4"/>
  </w:num>
  <w:num w:numId="20">
    <w:abstractNumId w:val="15"/>
  </w:num>
  <w:num w:numId="21">
    <w:abstractNumId w:val="11"/>
  </w:num>
  <w:num w:numId="22">
    <w:abstractNumId w:val="5"/>
  </w:num>
  <w:num w:numId="23">
    <w:abstractNumId w:val="2"/>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BD"/>
    <w:rsid w:val="000032F4"/>
    <w:rsid w:val="000246DF"/>
    <w:rsid w:val="000378AC"/>
    <w:rsid w:val="000443BD"/>
    <w:rsid w:val="000473F4"/>
    <w:rsid w:val="00072CFD"/>
    <w:rsid w:val="000903FC"/>
    <w:rsid w:val="000909C4"/>
    <w:rsid w:val="000A4975"/>
    <w:rsid w:val="000B0233"/>
    <w:rsid w:val="000F2D2A"/>
    <w:rsid w:val="00110402"/>
    <w:rsid w:val="0011381B"/>
    <w:rsid w:val="00113D46"/>
    <w:rsid w:val="001200F3"/>
    <w:rsid w:val="0014652A"/>
    <w:rsid w:val="00162D5F"/>
    <w:rsid w:val="00162F77"/>
    <w:rsid w:val="001939A6"/>
    <w:rsid w:val="0019542F"/>
    <w:rsid w:val="001C0CEB"/>
    <w:rsid w:val="001D374B"/>
    <w:rsid w:val="001F1918"/>
    <w:rsid w:val="0020551F"/>
    <w:rsid w:val="00205A8C"/>
    <w:rsid w:val="00215083"/>
    <w:rsid w:val="002171F5"/>
    <w:rsid w:val="00246211"/>
    <w:rsid w:val="00263C95"/>
    <w:rsid w:val="002750BA"/>
    <w:rsid w:val="00282D06"/>
    <w:rsid w:val="00285626"/>
    <w:rsid w:val="002D1B5C"/>
    <w:rsid w:val="00304528"/>
    <w:rsid w:val="00316844"/>
    <w:rsid w:val="003258BE"/>
    <w:rsid w:val="00327653"/>
    <w:rsid w:val="003319AC"/>
    <w:rsid w:val="00345537"/>
    <w:rsid w:val="00366670"/>
    <w:rsid w:val="003B7D0A"/>
    <w:rsid w:val="003C7698"/>
    <w:rsid w:val="003D0E9D"/>
    <w:rsid w:val="0047112A"/>
    <w:rsid w:val="0047748C"/>
    <w:rsid w:val="004912ED"/>
    <w:rsid w:val="004A6227"/>
    <w:rsid w:val="004B0FCB"/>
    <w:rsid w:val="004B5240"/>
    <w:rsid w:val="004B59BB"/>
    <w:rsid w:val="004D5126"/>
    <w:rsid w:val="004D52BB"/>
    <w:rsid w:val="00500296"/>
    <w:rsid w:val="00500600"/>
    <w:rsid w:val="005367A9"/>
    <w:rsid w:val="0054533A"/>
    <w:rsid w:val="00545B81"/>
    <w:rsid w:val="0055008F"/>
    <w:rsid w:val="00572382"/>
    <w:rsid w:val="00572675"/>
    <w:rsid w:val="005A51BD"/>
    <w:rsid w:val="005C0908"/>
    <w:rsid w:val="005D165D"/>
    <w:rsid w:val="005D7E91"/>
    <w:rsid w:val="005F4BDB"/>
    <w:rsid w:val="00607846"/>
    <w:rsid w:val="00636DAC"/>
    <w:rsid w:val="00644AFA"/>
    <w:rsid w:val="006C6D01"/>
    <w:rsid w:val="006C7F94"/>
    <w:rsid w:val="006D251A"/>
    <w:rsid w:val="006E23FF"/>
    <w:rsid w:val="006F2971"/>
    <w:rsid w:val="00723397"/>
    <w:rsid w:val="0075770E"/>
    <w:rsid w:val="00777471"/>
    <w:rsid w:val="007D4352"/>
    <w:rsid w:val="007E44CB"/>
    <w:rsid w:val="007F74CB"/>
    <w:rsid w:val="008063AB"/>
    <w:rsid w:val="00807420"/>
    <w:rsid w:val="00815BD9"/>
    <w:rsid w:val="0081606B"/>
    <w:rsid w:val="00856278"/>
    <w:rsid w:val="0085731C"/>
    <w:rsid w:val="00866124"/>
    <w:rsid w:val="00876041"/>
    <w:rsid w:val="008A75E7"/>
    <w:rsid w:val="008C3219"/>
    <w:rsid w:val="008D5880"/>
    <w:rsid w:val="008E610A"/>
    <w:rsid w:val="0090313A"/>
    <w:rsid w:val="0091167D"/>
    <w:rsid w:val="009347E7"/>
    <w:rsid w:val="00937739"/>
    <w:rsid w:val="0094525C"/>
    <w:rsid w:val="00975836"/>
    <w:rsid w:val="009D1727"/>
    <w:rsid w:val="009D44C2"/>
    <w:rsid w:val="009E40E7"/>
    <w:rsid w:val="009F53B4"/>
    <w:rsid w:val="009F73C4"/>
    <w:rsid w:val="00A0492B"/>
    <w:rsid w:val="00A13224"/>
    <w:rsid w:val="00A539AD"/>
    <w:rsid w:val="00A72E0E"/>
    <w:rsid w:val="00A72F25"/>
    <w:rsid w:val="00A82CC7"/>
    <w:rsid w:val="00AC0E2C"/>
    <w:rsid w:val="00AC5430"/>
    <w:rsid w:val="00B22671"/>
    <w:rsid w:val="00B64FE0"/>
    <w:rsid w:val="00B66A99"/>
    <w:rsid w:val="00B73E09"/>
    <w:rsid w:val="00B74587"/>
    <w:rsid w:val="00B82B43"/>
    <w:rsid w:val="00B86C67"/>
    <w:rsid w:val="00BA0C48"/>
    <w:rsid w:val="00BA3178"/>
    <w:rsid w:val="00BB51DE"/>
    <w:rsid w:val="00BE6F9B"/>
    <w:rsid w:val="00C00D47"/>
    <w:rsid w:val="00C16D78"/>
    <w:rsid w:val="00C37077"/>
    <w:rsid w:val="00C41CB6"/>
    <w:rsid w:val="00C500A8"/>
    <w:rsid w:val="00C51800"/>
    <w:rsid w:val="00C51885"/>
    <w:rsid w:val="00C6344A"/>
    <w:rsid w:val="00C746F6"/>
    <w:rsid w:val="00C924B1"/>
    <w:rsid w:val="00CA0E69"/>
    <w:rsid w:val="00CA7858"/>
    <w:rsid w:val="00CC1259"/>
    <w:rsid w:val="00CD0D53"/>
    <w:rsid w:val="00CD52E5"/>
    <w:rsid w:val="00CE06F8"/>
    <w:rsid w:val="00D0008F"/>
    <w:rsid w:val="00D00D46"/>
    <w:rsid w:val="00D07194"/>
    <w:rsid w:val="00D3057A"/>
    <w:rsid w:val="00D455DA"/>
    <w:rsid w:val="00D51984"/>
    <w:rsid w:val="00D729B1"/>
    <w:rsid w:val="00D739C5"/>
    <w:rsid w:val="00D86549"/>
    <w:rsid w:val="00DA5373"/>
    <w:rsid w:val="00DA7E49"/>
    <w:rsid w:val="00DB1501"/>
    <w:rsid w:val="00DB2233"/>
    <w:rsid w:val="00DC5AF5"/>
    <w:rsid w:val="00DC6FC5"/>
    <w:rsid w:val="00DF31B2"/>
    <w:rsid w:val="00DF3A3B"/>
    <w:rsid w:val="00E1443D"/>
    <w:rsid w:val="00E50D3F"/>
    <w:rsid w:val="00E60944"/>
    <w:rsid w:val="00E64CAD"/>
    <w:rsid w:val="00E762F2"/>
    <w:rsid w:val="00E91607"/>
    <w:rsid w:val="00E9277C"/>
    <w:rsid w:val="00EA392F"/>
    <w:rsid w:val="00EA6520"/>
    <w:rsid w:val="00EE04A6"/>
    <w:rsid w:val="00EF6F22"/>
    <w:rsid w:val="00F11361"/>
    <w:rsid w:val="00F1677A"/>
    <w:rsid w:val="00F20854"/>
    <w:rsid w:val="00F359BD"/>
    <w:rsid w:val="00F44BF2"/>
    <w:rsid w:val="00F62341"/>
    <w:rsid w:val="00F77859"/>
    <w:rsid w:val="00F954F0"/>
    <w:rsid w:val="00FA6E0D"/>
    <w:rsid w:val="00FA7D82"/>
    <w:rsid w:val="00FE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FBB109"/>
  <w15:chartTrackingRefBased/>
  <w15:docId w15:val="{C33DCA1F-449D-4813-9402-C30EE7FE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F359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359BD"/>
    <w:rPr>
      <w:color w:val="0563C1" w:themeColor="hyperlink"/>
      <w:u w:val="single"/>
    </w:rPr>
  </w:style>
  <w:style w:type="character" w:customStyle="1" w:styleId="text1">
    <w:name w:val="text1"/>
    <w:basedOn w:val="DefaultParagraphFont"/>
    <w:rsid w:val="00F359BD"/>
    <w:rPr>
      <w:rFonts w:ascii="Arial" w:hAnsi="Arial" w:cs="Arial" w:hint="default"/>
      <w:sz w:val="19"/>
      <w:szCs w:val="19"/>
    </w:rPr>
  </w:style>
  <w:style w:type="paragraph" w:styleId="ListParagraph">
    <w:name w:val="List Paragraph"/>
    <w:basedOn w:val="Normal"/>
    <w:uiPriority w:val="34"/>
    <w:qFormat/>
    <w:rsid w:val="00F359BD"/>
    <w:pPr>
      <w:spacing w:after="200" w:line="276" w:lineRule="auto"/>
      <w:ind w:left="720"/>
      <w:contextualSpacing/>
    </w:pPr>
  </w:style>
  <w:style w:type="paragraph" w:customStyle="1" w:styleId="BodyText1">
    <w:name w:val="Body Text1"/>
    <w:basedOn w:val="Normal"/>
    <w:qFormat/>
    <w:rsid w:val="00F359BD"/>
    <w:pPr>
      <w:autoSpaceDE w:val="0"/>
      <w:autoSpaceDN w:val="0"/>
      <w:adjustRightInd w:val="0"/>
      <w:spacing w:after="140" w:line="250" w:lineRule="atLeast"/>
    </w:pPr>
    <w:rPr>
      <w:rFonts w:ascii="Univers 45 Light" w:eastAsia="Calibri" w:hAnsi="Univers 45 Light" w:cs="Univers LT Std 45 Light"/>
      <w:color w:val="000000"/>
      <w:sz w:val="18"/>
      <w:szCs w:val="19"/>
    </w:rPr>
  </w:style>
  <w:style w:type="paragraph" w:styleId="NoSpacing">
    <w:name w:val="No Spacing"/>
    <w:uiPriority w:val="1"/>
    <w:qFormat/>
    <w:rsid w:val="00F359BD"/>
    <w:pPr>
      <w:spacing w:after="0" w:line="240" w:lineRule="auto"/>
    </w:pPr>
  </w:style>
  <w:style w:type="table" w:customStyle="1" w:styleId="TableGridLight1">
    <w:name w:val="Table Grid Light1"/>
    <w:basedOn w:val="TableNormal"/>
    <w:next w:val="TableGridLight"/>
    <w:uiPriority w:val="40"/>
    <w:rsid w:val="00F359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4A6227"/>
    <w:rPr>
      <w:sz w:val="16"/>
      <w:szCs w:val="16"/>
    </w:rPr>
  </w:style>
  <w:style w:type="paragraph" w:styleId="CommentText">
    <w:name w:val="annotation text"/>
    <w:basedOn w:val="Normal"/>
    <w:link w:val="CommentTextChar"/>
    <w:uiPriority w:val="99"/>
    <w:semiHidden/>
    <w:unhideWhenUsed/>
    <w:rsid w:val="004A6227"/>
    <w:pPr>
      <w:spacing w:line="240" w:lineRule="auto"/>
    </w:pPr>
    <w:rPr>
      <w:sz w:val="20"/>
      <w:szCs w:val="20"/>
    </w:rPr>
  </w:style>
  <w:style w:type="character" w:customStyle="1" w:styleId="CommentTextChar">
    <w:name w:val="Comment Text Char"/>
    <w:basedOn w:val="DefaultParagraphFont"/>
    <w:link w:val="CommentText"/>
    <w:uiPriority w:val="99"/>
    <w:semiHidden/>
    <w:rsid w:val="004A6227"/>
    <w:rPr>
      <w:sz w:val="20"/>
      <w:szCs w:val="20"/>
    </w:rPr>
  </w:style>
  <w:style w:type="paragraph" w:styleId="CommentSubject">
    <w:name w:val="annotation subject"/>
    <w:basedOn w:val="CommentText"/>
    <w:next w:val="CommentText"/>
    <w:link w:val="CommentSubjectChar"/>
    <w:uiPriority w:val="99"/>
    <w:semiHidden/>
    <w:unhideWhenUsed/>
    <w:rsid w:val="004A6227"/>
    <w:rPr>
      <w:b/>
      <w:bCs/>
    </w:rPr>
  </w:style>
  <w:style w:type="character" w:customStyle="1" w:styleId="CommentSubjectChar">
    <w:name w:val="Comment Subject Char"/>
    <w:basedOn w:val="CommentTextChar"/>
    <w:link w:val="CommentSubject"/>
    <w:uiPriority w:val="99"/>
    <w:semiHidden/>
    <w:rsid w:val="004A6227"/>
    <w:rPr>
      <w:b/>
      <w:bCs/>
      <w:sz w:val="20"/>
      <w:szCs w:val="20"/>
    </w:rPr>
  </w:style>
  <w:style w:type="paragraph" w:styleId="BalloonText">
    <w:name w:val="Balloon Text"/>
    <w:basedOn w:val="Normal"/>
    <w:link w:val="BalloonTextChar"/>
    <w:uiPriority w:val="99"/>
    <w:semiHidden/>
    <w:unhideWhenUsed/>
    <w:rsid w:val="004A6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27"/>
    <w:rPr>
      <w:rFonts w:ascii="Segoe UI" w:hAnsi="Segoe UI" w:cs="Segoe UI"/>
      <w:sz w:val="18"/>
      <w:szCs w:val="18"/>
    </w:rPr>
  </w:style>
  <w:style w:type="paragraph" w:styleId="Header">
    <w:name w:val="header"/>
    <w:basedOn w:val="Normal"/>
    <w:link w:val="HeaderChar"/>
    <w:uiPriority w:val="99"/>
    <w:unhideWhenUsed/>
    <w:rsid w:val="00327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653"/>
  </w:style>
  <w:style w:type="paragraph" w:styleId="Footer">
    <w:name w:val="footer"/>
    <w:basedOn w:val="Normal"/>
    <w:link w:val="FooterChar"/>
    <w:uiPriority w:val="99"/>
    <w:unhideWhenUsed/>
    <w:rsid w:val="00327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653"/>
  </w:style>
  <w:style w:type="character" w:styleId="FollowedHyperlink">
    <w:name w:val="FollowedHyperlink"/>
    <w:basedOn w:val="DefaultParagraphFont"/>
    <w:uiPriority w:val="99"/>
    <w:semiHidden/>
    <w:unhideWhenUsed/>
    <w:rsid w:val="00DC5AF5"/>
    <w:rPr>
      <w:color w:val="954F72" w:themeColor="followedHyperlink"/>
      <w:u w:val="single"/>
    </w:rPr>
  </w:style>
  <w:style w:type="character" w:styleId="Strong">
    <w:name w:val="Strong"/>
    <w:basedOn w:val="DefaultParagraphFont"/>
    <w:uiPriority w:val="22"/>
    <w:qFormat/>
    <w:rsid w:val="00B86C67"/>
    <w:rPr>
      <w:b/>
      <w:bCs/>
    </w:rPr>
  </w:style>
  <w:style w:type="character" w:styleId="UnresolvedMention">
    <w:name w:val="Unresolved Mention"/>
    <w:basedOn w:val="DefaultParagraphFont"/>
    <w:uiPriority w:val="99"/>
    <w:semiHidden/>
    <w:unhideWhenUsed/>
    <w:rsid w:val="00644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kpmg.ca/students?lang=en-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udents-kpmgca.icims.com/jobs/9532/kpmg-halifax-%e2%80%93-risk-consultant-opportunity/job?mode=view&amp;mobile=false&amp;width=717&amp;height=500&amp;bga=true&amp;needsRedirect=false&amp;jan1offset=-300&amp;jun1offset=-2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8D4749A9BE94C99B898C64FFA9536" ma:contentTypeVersion="12" ma:contentTypeDescription="Create a new document." ma:contentTypeScope="" ma:versionID="96eeaffafb49413f0cdfebbbc13d3874">
  <xsd:schema xmlns:xsd="http://www.w3.org/2001/XMLSchema" xmlns:xs="http://www.w3.org/2001/XMLSchema" xmlns:p="http://schemas.microsoft.com/office/2006/metadata/properties" xmlns:ns2="897e8636-224f-4a93-979a-6b382f53ea21" xmlns:ns3="82eafc82-a092-4d3f-a5ca-c87afcb2e7db" targetNamespace="http://schemas.microsoft.com/office/2006/metadata/properties" ma:root="true" ma:fieldsID="b4d0942db4a9ebe7580508784a54daee" ns2:_="" ns3:_="">
    <xsd:import namespace="897e8636-224f-4a93-979a-6b382f53ea21"/>
    <xsd:import namespace="82eafc82-a092-4d3f-a5ca-c87afcb2e7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e8636-224f-4a93-979a-6b382f53e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eafc82-a092-4d3f-a5ca-c87afcb2e7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23843-A587-4C8B-A5D2-1AAE9AE58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e8636-224f-4a93-979a-6b382f53ea21"/>
    <ds:schemaRef ds:uri="82eafc82-a092-4d3f-a5ca-c87afcb2e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867BF-5CE9-4B49-8CEA-8BD8EF648A73}">
  <ds:schemaRefs>
    <ds:schemaRef ds:uri="http://schemas.microsoft.com/sharepoint/v3/contenttype/forms"/>
  </ds:schemaRefs>
</ds:datastoreItem>
</file>

<file path=customXml/itemProps3.xml><?xml version="1.0" encoding="utf-8"?>
<ds:datastoreItem xmlns:ds="http://schemas.openxmlformats.org/officeDocument/2006/customXml" ds:itemID="{85CDAA10-ABEF-4F3A-8467-981B9871CDF2}">
  <ds:schemaRefs>
    <ds:schemaRef ds:uri="82eafc82-a092-4d3f-a5ca-c87afcb2e7db"/>
    <ds:schemaRef ds:uri="897e8636-224f-4a93-979a-6b382f53ea21"/>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mkaldas</dc:creator>
  <cp:keywords/>
  <dc:description/>
  <cp:lastModifiedBy>Kaludis, Jocelyn</cp:lastModifiedBy>
  <cp:revision>9</cp:revision>
  <dcterms:created xsi:type="dcterms:W3CDTF">2021-02-12T15:18:00Z</dcterms:created>
  <dcterms:modified xsi:type="dcterms:W3CDTF">2021-07-06T18:56:00Z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0x0101008B98D4749A9BE94C99B898C64FFA9536</vt:lpwstr>
  </property>
</Properties>
</file>